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E413">
      <w:pPr>
        <w:spacing w:line="360" w:lineRule="auto"/>
        <w:jc w:val="center"/>
        <w:rPr>
          <w:rFonts w:ascii="黑体" w:hAnsi="黑体" w:eastAsia="黑体"/>
          <w:b/>
          <w:sz w:val="44"/>
          <w:szCs w:val="44"/>
        </w:rPr>
      </w:pPr>
      <w:bookmarkStart w:id="0" w:name="_Toc413586940"/>
      <w:r>
        <w:rPr>
          <w:rFonts w:hint="eastAsia" w:ascii="黑体" w:hAnsi="黑体" w:eastAsia="黑体"/>
          <w:b/>
          <w:sz w:val="44"/>
          <w:szCs w:val="44"/>
        </w:rPr>
        <w:t>2020年度南京市机关事务管理局</w:t>
      </w:r>
    </w:p>
    <w:p w14:paraId="6810003D">
      <w:pPr>
        <w:spacing w:line="360" w:lineRule="auto"/>
        <w:jc w:val="center"/>
        <w:rPr>
          <w:rFonts w:ascii="黑体" w:hAnsi="黑体" w:eastAsia="黑体"/>
          <w:b/>
          <w:sz w:val="44"/>
          <w:szCs w:val="44"/>
        </w:rPr>
      </w:pPr>
      <w:r>
        <w:rPr>
          <w:rFonts w:hint="eastAsia" w:ascii="黑体" w:hAnsi="黑体" w:eastAsia="黑体"/>
          <w:b/>
          <w:sz w:val="44"/>
          <w:szCs w:val="44"/>
        </w:rPr>
        <w:t>整体预算绩效自评价报告</w:t>
      </w:r>
    </w:p>
    <w:p w14:paraId="137DD422">
      <w:pPr>
        <w:spacing w:line="360" w:lineRule="auto"/>
        <w:jc w:val="center"/>
        <w:rPr>
          <w:rFonts w:ascii="黑体" w:hAnsi="黑体" w:eastAsia="黑体"/>
          <w:b/>
          <w:sz w:val="44"/>
          <w:szCs w:val="44"/>
        </w:rPr>
      </w:pPr>
    </w:p>
    <w:bookmarkEnd w:id="0"/>
    <w:p w14:paraId="749C5875">
      <w:pPr>
        <w:spacing w:line="560" w:lineRule="exact"/>
        <w:ind w:firstLine="640" w:firstLineChars="200"/>
        <w:rPr>
          <w:rFonts w:ascii="仿宋" w:hAnsi="仿宋" w:eastAsia="仿宋"/>
          <w:sz w:val="32"/>
          <w:szCs w:val="32"/>
        </w:rPr>
      </w:pPr>
      <w:r>
        <w:rPr>
          <w:rFonts w:hint="eastAsia" w:ascii="仿宋" w:hAnsi="仿宋" w:eastAsia="仿宋"/>
          <w:sz w:val="32"/>
          <w:szCs w:val="32"/>
        </w:rPr>
        <w:t>为全面推进预算绩效管理，促进部门从整体上提升预算绩效管理水平，保障部门更好地履行职责，根据市委市政府《南京市全面实施预算绩效管理三年（2019-2021年）行动计划》和《关于开展2021年度预算绩效信息公开工作的通知》（宁财绩〔2021〕32号）要求，我局对2020年度部门整体预算绩效进行评价，经过前期准备、评价指标研发、数据采集与核查、综合评价与分析等几个阶段，形成绩效评价报告，现将评价结果报告如下：</w:t>
      </w:r>
    </w:p>
    <w:p w14:paraId="4B90683D">
      <w:pPr>
        <w:pStyle w:val="2"/>
        <w:spacing w:before="0" w:after="0" w:line="560" w:lineRule="exact"/>
        <w:ind w:firstLine="643" w:firstLineChars="200"/>
        <w:rPr>
          <w:rFonts w:ascii="黑体" w:hAnsi="黑体" w:eastAsia="黑体"/>
          <w:sz w:val="32"/>
          <w:szCs w:val="32"/>
        </w:rPr>
      </w:pPr>
      <w:bookmarkStart w:id="1" w:name="_Toc24624017"/>
      <w:r>
        <w:rPr>
          <w:rFonts w:hint="eastAsia" w:ascii="黑体" w:hAnsi="黑体" w:eastAsia="黑体"/>
          <w:sz w:val="32"/>
          <w:szCs w:val="32"/>
        </w:rPr>
        <w:t>一、部门</w:t>
      </w:r>
      <w:bookmarkEnd w:id="1"/>
      <w:r>
        <w:rPr>
          <w:rFonts w:hint="eastAsia" w:ascii="黑体" w:hAnsi="黑体" w:eastAsia="黑体"/>
          <w:sz w:val="32"/>
          <w:szCs w:val="32"/>
        </w:rPr>
        <w:t>基本情况</w:t>
      </w:r>
    </w:p>
    <w:p w14:paraId="5D391CBF">
      <w:pPr>
        <w:pStyle w:val="3"/>
        <w:spacing w:before="0" w:after="0" w:line="560" w:lineRule="exact"/>
        <w:ind w:firstLine="640" w:firstLineChars="200"/>
        <w:rPr>
          <w:rFonts w:ascii="仿宋" w:hAnsi="仿宋" w:eastAsia="仿宋"/>
          <w:b w:val="0"/>
        </w:rPr>
      </w:pPr>
      <w:bookmarkStart w:id="2" w:name="_Toc24624018"/>
      <w:r>
        <w:rPr>
          <w:rFonts w:hint="eastAsia" w:ascii="仿宋" w:hAnsi="仿宋" w:eastAsia="仿宋"/>
          <w:b w:val="0"/>
        </w:rPr>
        <w:t>（一）部门概况</w:t>
      </w:r>
    </w:p>
    <w:p w14:paraId="50E03B18">
      <w:pPr>
        <w:spacing w:line="560" w:lineRule="exact"/>
        <w:ind w:firstLine="640" w:firstLineChars="200"/>
        <w:rPr>
          <w:rFonts w:ascii="仿宋" w:hAnsi="仿宋" w:eastAsia="仿宋"/>
          <w:sz w:val="32"/>
          <w:szCs w:val="32"/>
        </w:rPr>
      </w:pPr>
      <w:r>
        <w:rPr>
          <w:rFonts w:hint="eastAsia" w:ascii="仿宋" w:hAnsi="仿宋" w:eastAsia="仿宋"/>
          <w:sz w:val="32"/>
          <w:szCs w:val="32"/>
        </w:rPr>
        <w:t>1.部门职能简介</w:t>
      </w:r>
      <w:bookmarkEnd w:id="2"/>
    </w:p>
    <w:p w14:paraId="553EB36B">
      <w:pPr>
        <w:spacing w:line="560" w:lineRule="exact"/>
        <w:ind w:firstLine="640" w:firstLineChars="200"/>
        <w:rPr>
          <w:rFonts w:ascii="仿宋" w:hAnsi="仿宋" w:eastAsia="仿宋"/>
          <w:sz w:val="32"/>
          <w:szCs w:val="32"/>
        </w:rPr>
      </w:pPr>
      <w:r>
        <w:rPr>
          <w:rFonts w:hint="eastAsia" w:ascii="仿宋" w:hAnsi="仿宋" w:eastAsia="仿宋"/>
          <w:sz w:val="32"/>
          <w:szCs w:val="32"/>
        </w:rPr>
        <w:t>根据南京市人民政府办公厅文件（宁政办发【2016】1号）规定，我局主要职责包括：</w:t>
      </w:r>
    </w:p>
    <w:p w14:paraId="4130563B">
      <w:pPr>
        <w:spacing w:line="560" w:lineRule="exact"/>
        <w:ind w:firstLine="640" w:firstLineChars="200"/>
        <w:rPr>
          <w:rFonts w:ascii="仿宋" w:hAnsi="仿宋" w:eastAsia="仿宋"/>
          <w:sz w:val="32"/>
          <w:szCs w:val="32"/>
        </w:rPr>
      </w:pPr>
      <w:r>
        <w:rPr>
          <w:rFonts w:hint="eastAsia" w:ascii="仿宋" w:hAnsi="仿宋" w:eastAsia="仿宋"/>
          <w:sz w:val="32"/>
          <w:szCs w:val="32"/>
        </w:rPr>
        <w:t>（1）贯彻执行党和国家的有关方针政策，研究制定全市机关事务管理工作的具体政策和管理制度并组织实施。</w:t>
      </w:r>
    </w:p>
    <w:p w14:paraId="3B892A06">
      <w:pPr>
        <w:spacing w:line="560" w:lineRule="exact"/>
        <w:ind w:firstLine="640" w:firstLineChars="200"/>
        <w:rPr>
          <w:rFonts w:ascii="仿宋" w:hAnsi="仿宋" w:eastAsia="仿宋"/>
          <w:sz w:val="32"/>
          <w:szCs w:val="32"/>
        </w:rPr>
      </w:pPr>
      <w:r>
        <w:rPr>
          <w:rFonts w:hint="eastAsia" w:ascii="仿宋" w:hAnsi="仿宋" w:eastAsia="仿宋"/>
          <w:sz w:val="32"/>
          <w:szCs w:val="32"/>
        </w:rPr>
        <w:t>（2）会同有关部门研究制定并组织实施全市机关事务管理体制改革的政策和办法，指导区和市级机关部门机关事务工作。</w:t>
      </w:r>
    </w:p>
    <w:p w14:paraId="5B7488CA">
      <w:pPr>
        <w:spacing w:line="560" w:lineRule="exact"/>
        <w:ind w:firstLine="640" w:firstLineChars="200"/>
        <w:rPr>
          <w:rFonts w:ascii="仿宋" w:hAnsi="仿宋" w:eastAsia="仿宋"/>
          <w:sz w:val="32"/>
          <w:szCs w:val="32"/>
        </w:rPr>
      </w:pPr>
      <w:r>
        <w:rPr>
          <w:rFonts w:hint="eastAsia" w:ascii="仿宋" w:hAnsi="仿宋" w:eastAsia="仿宋"/>
          <w:sz w:val="32"/>
          <w:szCs w:val="32"/>
        </w:rPr>
        <w:t>（3）负责市级机关和事业单位的办公用房、车辆等有关国有资产产权界定、清查登记工作。</w:t>
      </w:r>
    </w:p>
    <w:p w14:paraId="3C099261">
      <w:pPr>
        <w:spacing w:line="560" w:lineRule="exact"/>
        <w:ind w:firstLine="640" w:firstLineChars="200"/>
        <w:rPr>
          <w:rFonts w:ascii="仿宋" w:hAnsi="仿宋" w:eastAsia="仿宋"/>
          <w:sz w:val="32"/>
          <w:szCs w:val="32"/>
        </w:rPr>
      </w:pPr>
      <w:r>
        <w:rPr>
          <w:rFonts w:hint="eastAsia" w:ascii="仿宋" w:hAnsi="仿宋" w:eastAsia="仿宋"/>
          <w:sz w:val="32"/>
          <w:szCs w:val="32"/>
        </w:rPr>
        <w:t>（4）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w:t>
      </w:r>
    </w:p>
    <w:p w14:paraId="68F4979B">
      <w:pPr>
        <w:spacing w:line="560" w:lineRule="exact"/>
        <w:ind w:firstLine="640" w:firstLineChars="200"/>
        <w:rPr>
          <w:rFonts w:ascii="仿宋" w:hAnsi="仿宋" w:eastAsia="仿宋"/>
          <w:sz w:val="32"/>
          <w:szCs w:val="32"/>
        </w:rPr>
      </w:pPr>
      <w:r>
        <w:rPr>
          <w:rFonts w:hint="eastAsia" w:ascii="仿宋" w:hAnsi="仿宋" w:eastAsia="仿宋"/>
          <w:sz w:val="32"/>
          <w:szCs w:val="32"/>
        </w:rPr>
        <w:t>（5）负责市级机关和事业单位公务车辆的集中统一管理；审核公务用车的编制、配备、更新、报废事项；指导区机关公务用车管理工作；监管市属国有企业公务用车；负责南京市承办的重大政治、经济、文化活动的公务车辆服务保障工作。</w:t>
      </w:r>
    </w:p>
    <w:p w14:paraId="5B7E6717">
      <w:pPr>
        <w:spacing w:line="560" w:lineRule="exact"/>
        <w:ind w:firstLine="640" w:firstLineChars="200"/>
        <w:rPr>
          <w:rFonts w:ascii="仿宋" w:hAnsi="仿宋" w:eastAsia="仿宋"/>
          <w:sz w:val="32"/>
          <w:szCs w:val="32"/>
        </w:rPr>
      </w:pPr>
      <w:r>
        <w:rPr>
          <w:rFonts w:hint="eastAsia" w:ascii="仿宋" w:hAnsi="仿宋" w:eastAsia="仿宋"/>
          <w:sz w:val="32"/>
          <w:szCs w:val="32"/>
        </w:rPr>
        <w:t>（6）推进节约型机关的建设工作；会同市节能主管部门，负责全市公共机构的节能管理工作；制定全市公共机构的节能规划、能源消耗定额和节能目标并组织实施。</w:t>
      </w:r>
    </w:p>
    <w:p w14:paraId="3299D0A8">
      <w:pPr>
        <w:spacing w:line="560" w:lineRule="exact"/>
        <w:ind w:firstLine="640" w:firstLineChars="200"/>
        <w:rPr>
          <w:rFonts w:ascii="仿宋" w:hAnsi="仿宋" w:eastAsia="仿宋"/>
          <w:sz w:val="32"/>
          <w:szCs w:val="32"/>
        </w:rPr>
      </w:pPr>
      <w:r>
        <w:rPr>
          <w:rFonts w:hint="eastAsia" w:ascii="仿宋" w:hAnsi="仿宋" w:eastAsia="仿宋"/>
          <w:sz w:val="32"/>
          <w:szCs w:val="32"/>
        </w:rPr>
        <w:t>（7）负责市级机关的治安保卫工作，维护机关集中办公区的交通秩序，协助处理机关内部的交通事故、治安案件；协助有关部门维护集中办公区的上访秩序和市级领导集中住宅区的安保工作。</w:t>
      </w:r>
    </w:p>
    <w:p w14:paraId="498763C3">
      <w:pPr>
        <w:spacing w:line="560" w:lineRule="exact"/>
        <w:ind w:firstLine="640" w:firstLineChars="200"/>
        <w:rPr>
          <w:rFonts w:ascii="仿宋" w:hAnsi="仿宋" w:eastAsia="仿宋"/>
          <w:sz w:val="32"/>
          <w:szCs w:val="32"/>
        </w:rPr>
      </w:pPr>
      <w:r>
        <w:rPr>
          <w:rFonts w:hint="eastAsia" w:ascii="仿宋" w:hAnsi="仿宋" w:eastAsia="仿宋"/>
          <w:sz w:val="32"/>
          <w:szCs w:val="32"/>
        </w:rPr>
        <w:t>（8）负责市级机关爱国卫生、环境综合治理标准化建设、绿化美化和人民防空工作。</w:t>
      </w:r>
    </w:p>
    <w:p w14:paraId="1A7878BD">
      <w:pPr>
        <w:spacing w:line="560" w:lineRule="exact"/>
        <w:ind w:firstLine="640" w:firstLineChars="200"/>
        <w:rPr>
          <w:rFonts w:ascii="仿宋" w:hAnsi="仿宋" w:eastAsia="仿宋"/>
          <w:sz w:val="32"/>
          <w:szCs w:val="32"/>
        </w:rPr>
      </w:pPr>
      <w:r>
        <w:rPr>
          <w:rFonts w:hint="eastAsia" w:ascii="仿宋" w:hAnsi="仿宋" w:eastAsia="仿宋"/>
          <w:sz w:val="32"/>
          <w:szCs w:val="32"/>
        </w:rPr>
        <w:t>（9）会同有关部门承办来我市的内宾接待服务工作；协助承担市重要会议、大型活动的服务保障工作。</w:t>
      </w:r>
    </w:p>
    <w:p w14:paraId="022F8BDF">
      <w:pPr>
        <w:spacing w:line="560" w:lineRule="exact"/>
        <w:ind w:firstLine="640" w:firstLineChars="200"/>
        <w:rPr>
          <w:rFonts w:ascii="仿宋" w:hAnsi="仿宋" w:eastAsia="仿宋"/>
          <w:sz w:val="32"/>
          <w:szCs w:val="32"/>
        </w:rPr>
      </w:pPr>
      <w:r>
        <w:rPr>
          <w:rFonts w:hint="eastAsia" w:ascii="仿宋" w:hAnsi="仿宋" w:eastAsia="仿宋"/>
          <w:sz w:val="32"/>
          <w:szCs w:val="32"/>
        </w:rPr>
        <w:t>（10）承办市委、市政府交办的其他事项。</w:t>
      </w:r>
    </w:p>
    <w:p w14:paraId="117FD5CD">
      <w:pPr>
        <w:spacing w:line="560" w:lineRule="exact"/>
        <w:ind w:firstLine="640" w:firstLineChars="200"/>
        <w:rPr>
          <w:rFonts w:ascii="仿宋" w:hAnsi="仿宋" w:eastAsia="仿宋"/>
          <w:sz w:val="32"/>
          <w:szCs w:val="32"/>
        </w:rPr>
      </w:pPr>
      <w:bookmarkStart w:id="3" w:name="_Toc24624019"/>
      <w:r>
        <w:rPr>
          <w:rFonts w:hint="eastAsia" w:ascii="仿宋" w:hAnsi="仿宋" w:eastAsia="仿宋"/>
          <w:sz w:val="32"/>
          <w:szCs w:val="32"/>
        </w:rPr>
        <w:t>2.部门机构设置</w:t>
      </w:r>
      <w:bookmarkEnd w:id="3"/>
    </w:p>
    <w:p w14:paraId="24E22D3C">
      <w:pPr>
        <w:spacing w:line="560" w:lineRule="exact"/>
        <w:ind w:firstLine="640" w:firstLineChars="200"/>
        <w:rPr>
          <w:rFonts w:ascii="仿宋" w:hAnsi="仿宋" w:eastAsia="仿宋"/>
          <w:sz w:val="32"/>
          <w:szCs w:val="32"/>
        </w:rPr>
      </w:pPr>
      <w:r>
        <w:rPr>
          <w:rFonts w:hint="eastAsia" w:ascii="仿宋" w:hAnsi="仿宋" w:eastAsia="仿宋"/>
          <w:sz w:val="32"/>
          <w:szCs w:val="32"/>
        </w:rPr>
        <w:t>根据部门职责分工，我局内设办公室（机关事务信息处）、人事教育处（审计处）、财务处（资产管理处）、服务监管处、房地产管理处、基建处、安全保卫处（车辆管理处）、节能管理处、政策法规处、机关党委以及离退休干部处。</w:t>
      </w:r>
    </w:p>
    <w:p w14:paraId="6102811F">
      <w:pPr>
        <w:spacing w:line="560" w:lineRule="exact"/>
        <w:ind w:firstLine="640" w:firstLineChars="200"/>
        <w:rPr>
          <w:rFonts w:ascii="仿宋" w:hAnsi="仿宋" w:eastAsia="仿宋"/>
          <w:sz w:val="32"/>
          <w:szCs w:val="32"/>
        </w:rPr>
      </w:pPr>
      <w:r>
        <w:rPr>
          <w:rFonts w:hint="eastAsia" w:ascii="仿宋" w:hAnsi="仿宋" w:eastAsia="仿宋"/>
          <w:sz w:val="32"/>
          <w:szCs w:val="32"/>
        </w:rPr>
        <w:t>3.人员情况</w:t>
      </w:r>
    </w:p>
    <w:p w14:paraId="0C443E83">
      <w:pPr>
        <w:spacing w:line="560" w:lineRule="exact"/>
        <w:ind w:firstLine="640" w:firstLineChars="200"/>
        <w:rPr>
          <w:rFonts w:ascii="仿宋" w:hAnsi="仿宋" w:eastAsia="仿宋"/>
          <w:sz w:val="32"/>
          <w:szCs w:val="32"/>
        </w:rPr>
      </w:pPr>
      <w:r>
        <w:rPr>
          <w:rFonts w:hint="eastAsia" w:ascii="仿宋" w:hAnsi="仿宋" w:eastAsia="仿宋"/>
          <w:sz w:val="32"/>
          <w:szCs w:val="32"/>
        </w:rPr>
        <w:t>我局机关现有编制数248人，截至2020年末，实有在职人员126人、离休人员2人、退休人员159人、编外人员1人。</w:t>
      </w:r>
    </w:p>
    <w:p w14:paraId="2227617E">
      <w:pPr>
        <w:spacing w:line="560" w:lineRule="exact"/>
        <w:ind w:firstLine="640" w:firstLineChars="200"/>
        <w:rPr>
          <w:rFonts w:ascii="仿宋" w:hAnsi="仿宋" w:eastAsia="仿宋"/>
          <w:sz w:val="32"/>
          <w:szCs w:val="32"/>
        </w:rPr>
      </w:pPr>
      <w:r>
        <w:rPr>
          <w:rFonts w:hint="eastAsia" w:ascii="仿宋" w:hAnsi="仿宋" w:eastAsia="仿宋"/>
          <w:sz w:val="32"/>
          <w:szCs w:val="32"/>
        </w:rPr>
        <w:t>4.资产情况</w:t>
      </w:r>
    </w:p>
    <w:p w14:paraId="640718C0">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2020年度，我局机关固定资产原值551269.60万元，累计折旧金额66406.27万元，固定资产净值484863.33万元，期末无在建工程余额。</w:t>
      </w:r>
      <w:r>
        <w:rPr>
          <w:rFonts w:ascii="仿宋" w:hAnsi="仿宋" w:eastAsia="仿宋"/>
          <w:b w:val="0"/>
          <w:kern w:val="0"/>
          <w:sz w:val="32"/>
          <w:szCs w:val="32"/>
        </w:rPr>
        <w:t xml:space="preserve"> </w:t>
      </w:r>
    </w:p>
    <w:p w14:paraId="126EE80E">
      <w:pPr>
        <w:pStyle w:val="3"/>
        <w:spacing w:before="0" w:after="0" w:line="560" w:lineRule="exact"/>
        <w:ind w:firstLine="640" w:firstLineChars="200"/>
        <w:rPr>
          <w:rFonts w:ascii="仿宋" w:hAnsi="仿宋" w:eastAsia="仿宋"/>
          <w:b w:val="0"/>
        </w:rPr>
      </w:pPr>
      <w:r>
        <w:rPr>
          <w:rFonts w:hint="eastAsia" w:ascii="仿宋" w:hAnsi="仿宋" w:eastAsia="仿宋"/>
          <w:b w:val="0"/>
        </w:rPr>
        <w:t>（二）部门预算管理与使用情况</w:t>
      </w:r>
    </w:p>
    <w:p w14:paraId="7935A79E">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theme="majorBidi"/>
          <w:bCs/>
          <w:sz w:val="32"/>
          <w:szCs w:val="32"/>
        </w:rPr>
        <w:t>部</w:t>
      </w:r>
      <w:r>
        <w:rPr>
          <w:rFonts w:hint="eastAsia" w:ascii="仿宋" w:hAnsi="仿宋" w:eastAsia="仿宋"/>
          <w:sz w:val="32"/>
          <w:szCs w:val="32"/>
        </w:rPr>
        <w:t>门整体预算及执行情况</w:t>
      </w:r>
    </w:p>
    <w:p w14:paraId="0D18CD69">
      <w:pPr>
        <w:spacing w:line="560" w:lineRule="exact"/>
        <w:ind w:firstLine="640" w:firstLineChars="200"/>
        <w:rPr>
          <w:rFonts w:ascii="仿宋" w:hAnsi="仿宋" w:eastAsia="仿宋"/>
          <w:sz w:val="32"/>
          <w:szCs w:val="32"/>
        </w:rPr>
      </w:pPr>
      <w:r>
        <w:rPr>
          <w:rFonts w:hint="eastAsia" w:ascii="仿宋" w:hAnsi="仿宋" w:eastAsia="仿宋"/>
          <w:sz w:val="32"/>
          <w:szCs w:val="32"/>
        </w:rPr>
        <w:t>2020年度，我局机关年初预算数27530.24万元，调整后预算数30527.59万元,决算数29141.94万元，年末结转和结余1385.65万元，整体预算调整率10.89%，整体支出预算执行率95.46%。</w:t>
      </w:r>
    </w:p>
    <w:p w14:paraId="59F17515">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bCs/>
          <w:sz w:val="32"/>
          <w:szCs w:val="32"/>
        </w:rPr>
        <w:t>三公两费</w:t>
      </w:r>
      <w:r>
        <w:rPr>
          <w:rFonts w:hint="eastAsia" w:ascii="仿宋" w:hAnsi="仿宋" w:eastAsia="仿宋"/>
          <w:sz w:val="32"/>
          <w:szCs w:val="32"/>
        </w:rPr>
        <w:t>”使用情况</w:t>
      </w:r>
    </w:p>
    <w:p w14:paraId="0CDBCF06">
      <w:pPr>
        <w:spacing w:line="560" w:lineRule="exact"/>
        <w:ind w:firstLine="640" w:firstLineChars="200"/>
        <w:rPr>
          <w:rFonts w:ascii="仿宋" w:hAnsi="仿宋" w:eastAsia="仿宋"/>
          <w:sz w:val="32"/>
          <w:szCs w:val="32"/>
        </w:rPr>
      </w:pPr>
      <w:r>
        <w:rPr>
          <w:rFonts w:hint="eastAsia" w:ascii="仿宋" w:hAnsi="仿宋" w:eastAsia="仿宋"/>
          <w:sz w:val="32"/>
          <w:szCs w:val="32"/>
        </w:rPr>
        <w:t>2020年度，我局机关“</w:t>
      </w:r>
      <w:r>
        <w:rPr>
          <w:rFonts w:ascii="仿宋" w:hAnsi="仿宋" w:eastAsia="仿宋"/>
          <w:bCs/>
          <w:sz w:val="32"/>
          <w:szCs w:val="32"/>
        </w:rPr>
        <w:t>三公两费</w:t>
      </w:r>
      <w:r>
        <w:rPr>
          <w:rFonts w:hint="eastAsia" w:ascii="仿宋" w:hAnsi="仿宋" w:eastAsia="仿宋"/>
          <w:sz w:val="32"/>
          <w:szCs w:val="32"/>
        </w:rPr>
        <w:t>”共支出34.08万元，其中“三公经费”共支出9.01万元（因公出国（境）费0万元、公务用车购置及运行维护费6.05万元、公务接待费2.96万元）、会议费支出8.01万元、培训费支出17.06万元。</w:t>
      </w:r>
    </w:p>
    <w:p w14:paraId="6E660EE6">
      <w:pPr>
        <w:spacing w:line="560" w:lineRule="exact"/>
        <w:ind w:firstLine="640" w:firstLineChars="200"/>
        <w:rPr>
          <w:rFonts w:ascii="仿宋" w:hAnsi="仿宋" w:eastAsia="仿宋"/>
          <w:sz w:val="32"/>
          <w:szCs w:val="32"/>
        </w:rPr>
      </w:pPr>
      <w:r>
        <w:rPr>
          <w:rFonts w:hint="eastAsia" w:ascii="仿宋" w:hAnsi="仿宋" w:eastAsia="仿宋"/>
          <w:sz w:val="32"/>
          <w:szCs w:val="32"/>
        </w:rPr>
        <w:t>3.项目资金使用情况</w:t>
      </w:r>
    </w:p>
    <w:p w14:paraId="641B8FD7">
      <w:pPr>
        <w:spacing w:line="560" w:lineRule="exact"/>
        <w:ind w:firstLine="640" w:firstLineChars="200"/>
        <w:rPr>
          <w:rFonts w:ascii="仿宋" w:hAnsi="仿宋" w:eastAsia="仿宋"/>
          <w:sz w:val="32"/>
          <w:szCs w:val="32"/>
        </w:rPr>
      </w:pPr>
      <w:r>
        <w:rPr>
          <w:rFonts w:hint="eastAsia" w:ascii="仿宋" w:hAnsi="仿宋" w:eastAsia="仿宋"/>
          <w:sz w:val="32"/>
          <w:szCs w:val="32"/>
        </w:rPr>
        <w:t>2020年度，我局机关实施项目共计27项，涉及项目收入数22458.45万元、支出数21088.41万元，年末结转和结余1370.04万元。</w:t>
      </w:r>
      <w:r>
        <w:rPr>
          <w:rFonts w:ascii="仿宋" w:hAnsi="仿宋" w:eastAsia="仿宋"/>
          <w:sz w:val="32"/>
          <w:szCs w:val="32"/>
        </w:rPr>
        <w:t xml:space="preserve"> </w:t>
      </w:r>
    </w:p>
    <w:p w14:paraId="2742A548">
      <w:pPr>
        <w:pStyle w:val="3"/>
        <w:spacing w:before="0" w:after="0" w:line="560" w:lineRule="exact"/>
        <w:ind w:firstLine="640" w:firstLineChars="200"/>
        <w:rPr>
          <w:rFonts w:ascii="仿宋" w:hAnsi="仿宋" w:eastAsia="仿宋"/>
          <w:b w:val="0"/>
        </w:rPr>
      </w:pPr>
      <w:r>
        <w:rPr>
          <w:rFonts w:hint="eastAsia" w:ascii="仿宋" w:hAnsi="仿宋" w:eastAsia="仿宋"/>
          <w:b w:val="0"/>
        </w:rPr>
        <w:t>（三）部门绩效目标</w:t>
      </w:r>
    </w:p>
    <w:p w14:paraId="615DF440">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1.中长期阶段性目标</w:t>
      </w:r>
    </w:p>
    <w:p w14:paraId="6AE89D84">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坚定不移地加强党的全面领导</w:t>
      </w:r>
      <w:r>
        <w:rPr>
          <w:rFonts w:hint="eastAsia" w:ascii="仿宋" w:hAnsi="仿宋" w:eastAsia="仿宋"/>
          <w:sz w:val="32"/>
          <w:szCs w:val="32"/>
        </w:rPr>
        <w:t>。深入学习宣传贯彻习近平新时代中国特色社会主义思想、党的十九大精神和习近平总书记系列重要讲话精神，增强“四个意识”</w:t>
      </w:r>
      <w:r>
        <w:rPr>
          <w:rFonts w:hint="eastAsia" w:ascii="仿宋" w:hAnsi="仿宋" w:eastAsia="仿宋"/>
          <w:sz w:val="32"/>
          <w:szCs w:val="32"/>
          <w:lang w:eastAsia="zh-CN"/>
        </w:rPr>
        <w:t>、</w:t>
      </w:r>
      <w:r>
        <w:rPr>
          <w:rFonts w:hint="eastAsia" w:ascii="仿宋" w:hAnsi="仿宋" w:eastAsia="仿宋"/>
          <w:sz w:val="32"/>
          <w:szCs w:val="32"/>
        </w:rPr>
        <w:t>坚定“四个自信”</w:t>
      </w:r>
      <w:r>
        <w:rPr>
          <w:rFonts w:hint="eastAsia" w:ascii="仿宋" w:hAnsi="仿宋" w:eastAsia="仿宋"/>
          <w:sz w:val="32"/>
          <w:szCs w:val="32"/>
          <w:lang w:eastAsia="zh-CN"/>
        </w:rPr>
        <w:t>、</w:t>
      </w:r>
      <w:r>
        <w:rPr>
          <w:rFonts w:hint="eastAsia" w:ascii="仿宋" w:hAnsi="仿宋" w:eastAsia="仿宋"/>
          <w:sz w:val="32"/>
          <w:szCs w:val="32"/>
        </w:rPr>
        <w:t>做到“两个维护”。</w:t>
      </w:r>
    </w:p>
    <w:p w14:paraId="6ACC8E76">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从严从实抓好巡视巡察整改工作</w:t>
      </w:r>
      <w:r>
        <w:rPr>
          <w:rFonts w:hint="eastAsia" w:ascii="仿宋" w:hAnsi="仿宋" w:eastAsia="仿宋"/>
          <w:sz w:val="32"/>
          <w:szCs w:val="32"/>
        </w:rPr>
        <w:t>。坚持把抓好巡视巡察整改作为重大政治任务，对标中央和省市委要求，压实巡视巡察整改政治责任，把巡视巡察整改作为全面从严治党的重要抓手，对照反馈意见深刻剖析整改。</w:t>
      </w:r>
    </w:p>
    <w:p w14:paraId="5FDDE2E3">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）凝心聚力推动机关事务高质量发展</w:t>
      </w:r>
      <w:r>
        <w:rPr>
          <w:rFonts w:hint="eastAsia" w:ascii="仿宋" w:hAnsi="仿宋" w:eastAsia="仿宋"/>
          <w:sz w:val="32"/>
          <w:szCs w:val="32"/>
        </w:rPr>
        <w:t>。一是</w:t>
      </w:r>
      <w:r>
        <w:rPr>
          <w:rFonts w:ascii="仿宋" w:hAnsi="仿宋" w:eastAsia="仿宋"/>
          <w:sz w:val="32"/>
          <w:szCs w:val="32"/>
        </w:rPr>
        <w:t>持续推进对标找差工作</w:t>
      </w:r>
      <w:r>
        <w:rPr>
          <w:rFonts w:hint="eastAsia" w:ascii="仿宋" w:hAnsi="仿宋" w:eastAsia="仿宋"/>
          <w:sz w:val="32"/>
          <w:szCs w:val="32"/>
        </w:rPr>
        <w:t>；二是</w:t>
      </w:r>
      <w:r>
        <w:rPr>
          <w:rFonts w:ascii="仿宋" w:hAnsi="仿宋" w:eastAsia="仿宋"/>
          <w:sz w:val="32"/>
          <w:szCs w:val="32"/>
        </w:rPr>
        <w:t>实施创新“四项工程”</w:t>
      </w:r>
      <w:r>
        <w:rPr>
          <w:rFonts w:hint="eastAsia" w:ascii="仿宋" w:hAnsi="仿宋" w:eastAsia="仿宋"/>
          <w:sz w:val="32"/>
          <w:szCs w:val="32"/>
        </w:rPr>
        <w:t>；三是</w:t>
      </w:r>
      <w:r>
        <w:rPr>
          <w:rFonts w:ascii="仿宋" w:hAnsi="仿宋" w:eastAsia="仿宋"/>
          <w:sz w:val="32"/>
          <w:szCs w:val="32"/>
        </w:rPr>
        <w:t>强化高质量发展的法治保障</w:t>
      </w:r>
      <w:r>
        <w:rPr>
          <w:rFonts w:hint="eastAsia" w:ascii="仿宋" w:hAnsi="仿宋" w:eastAsia="仿宋"/>
          <w:sz w:val="32"/>
          <w:szCs w:val="32"/>
        </w:rPr>
        <w:t>；四是</w:t>
      </w:r>
      <w:r>
        <w:rPr>
          <w:rFonts w:ascii="仿宋" w:hAnsi="仿宋" w:eastAsia="仿宋"/>
          <w:sz w:val="32"/>
          <w:szCs w:val="32"/>
        </w:rPr>
        <w:t>持续深化标准化建设</w:t>
      </w:r>
      <w:r>
        <w:rPr>
          <w:rFonts w:hint="eastAsia" w:ascii="仿宋" w:hAnsi="仿宋" w:eastAsia="仿宋"/>
          <w:sz w:val="32"/>
          <w:szCs w:val="32"/>
        </w:rPr>
        <w:t>；五是</w:t>
      </w:r>
      <w:r>
        <w:rPr>
          <w:rFonts w:ascii="仿宋" w:hAnsi="仿宋" w:eastAsia="仿宋"/>
          <w:sz w:val="32"/>
          <w:szCs w:val="32"/>
        </w:rPr>
        <w:t>大力推进智慧大院建设</w:t>
      </w:r>
      <w:r>
        <w:rPr>
          <w:rFonts w:hint="eastAsia" w:ascii="仿宋" w:hAnsi="仿宋" w:eastAsia="仿宋"/>
          <w:sz w:val="32"/>
          <w:szCs w:val="32"/>
        </w:rPr>
        <w:t>；六是</w:t>
      </w:r>
      <w:r>
        <w:rPr>
          <w:rFonts w:ascii="仿宋" w:hAnsi="仿宋" w:eastAsia="仿宋"/>
          <w:sz w:val="32"/>
          <w:szCs w:val="32"/>
        </w:rPr>
        <w:t>持续推进绿色机关建设</w:t>
      </w:r>
      <w:r>
        <w:rPr>
          <w:rFonts w:hint="eastAsia" w:ascii="仿宋" w:hAnsi="仿宋" w:eastAsia="仿宋"/>
          <w:sz w:val="32"/>
          <w:szCs w:val="32"/>
        </w:rPr>
        <w:t>。</w:t>
      </w:r>
    </w:p>
    <w:p w14:paraId="210A1ABE">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高水平提升机关事务履职尽责能力</w:t>
      </w:r>
      <w:r>
        <w:rPr>
          <w:rFonts w:hint="eastAsia" w:ascii="仿宋" w:hAnsi="仿宋" w:eastAsia="仿宋"/>
          <w:sz w:val="32"/>
          <w:szCs w:val="32"/>
        </w:rPr>
        <w:t>。一是</w:t>
      </w:r>
      <w:r>
        <w:rPr>
          <w:rFonts w:ascii="仿宋" w:hAnsi="仿宋" w:eastAsia="仿宋"/>
          <w:sz w:val="32"/>
          <w:szCs w:val="32"/>
        </w:rPr>
        <w:t>优化机构设置和职能配置</w:t>
      </w:r>
      <w:r>
        <w:rPr>
          <w:rFonts w:hint="eastAsia" w:ascii="仿宋" w:hAnsi="仿宋" w:eastAsia="仿宋"/>
          <w:sz w:val="32"/>
          <w:szCs w:val="32"/>
        </w:rPr>
        <w:t>；二是</w:t>
      </w:r>
      <w:r>
        <w:rPr>
          <w:rFonts w:ascii="仿宋" w:hAnsi="仿宋" w:eastAsia="仿宋"/>
          <w:sz w:val="32"/>
          <w:szCs w:val="32"/>
        </w:rPr>
        <w:t>持续抓好为机关干部办实事</w:t>
      </w:r>
      <w:r>
        <w:rPr>
          <w:rFonts w:hint="eastAsia" w:ascii="仿宋" w:hAnsi="仿宋" w:eastAsia="仿宋"/>
          <w:sz w:val="32"/>
          <w:szCs w:val="32"/>
        </w:rPr>
        <w:t>项目；三是</w:t>
      </w:r>
      <w:r>
        <w:rPr>
          <w:rFonts w:ascii="仿宋" w:hAnsi="仿宋" w:eastAsia="仿宋"/>
          <w:sz w:val="32"/>
          <w:szCs w:val="32"/>
        </w:rPr>
        <w:t>扎实推进机构改革后续任务</w:t>
      </w:r>
      <w:r>
        <w:rPr>
          <w:rFonts w:hint="eastAsia" w:ascii="仿宋" w:hAnsi="仿宋" w:eastAsia="仿宋"/>
          <w:sz w:val="32"/>
          <w:szCs w:val="32"/>
        </w:rPr>
        <w:t>；四是</w:t>
      </w:r>
      <w:r>
        <w:rPr>
          <w:rFonts w:ascii="仿宋" w:hAnsi="仿宋" w:eastAsia="仿宋"/>
          <w:sz w:val="32"/>
          <w:szCs w:val="32"/>
        </w:rPr>
        <w:t>全力抓好重点基建项目建设</w:t>
      </w:r>
      <w:r>
        <w:rPr>
          <w:rFonts w:hint="eastAsia" w:ascii="仿宋" w:hAnsi="仿宋" w:eastAsia="仿宋"/>
          <w:sz w:val="32"/>
          <w:szCs w:val="32"/>
        </w:rPr>
        <w:t>；五是</w:t>
      </w:r>
      <w:r>
        <w:rPr>
          <w:rFonts w:ascii="仿宋" w:hAnsi="仿宋" w:eastAsia="仿宋"/>
          <w:sz w:val="32"/>
          <w:szCs w:val="32"/>
        </w:rPr>
        <w:t>着力提升考核评价科学化水平</w:t>
      </w:r>
      <w:r>
        <w:rPr>
          <w:rFonts w:hint="eastAsia" w:ascii="仿宋" w:hAnsi="仿宋" w:eastAsia="仿宋"/>
          <w:sz w:val="32"/>
          <w:szCs w:val="32"/>
        </w:rPr>
        <w:t>。</w:t>
      </w:r>
    </w:p>
    <w:p w14:paraId="30D23ECF">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（5）</w:t>
      </w:r>
      <w:r>
        <w:rPr>
          <w:rFonts w:ascii="仿宋" w:hAnsi="仿宋" w:eastAsia="仿宋"/>
          <w:b w:val="0"/>
          <w:kern w:val="0"/>
          <w:sz w:val="32"/>
          <w:szCs w:val="32"/>
        </w:rPr>
        <w:t>进一步加强干部队伍建设</w:t>
      </w:r>
      <w:r>
        <w:rPr>
          <w:rFonts w:hint="eastAsia" w:ascii="仿宋" w:hAnsi="仿宋" w:eastAsia="仿宋"/>
          <w:b w:val="0"/>
          <w:kern w:val="0"/>
          <w:sz w:val="32"/>
          <w:szCs w:val="32"/>
        </w:rPr>
        <w:t>。</w:t>
      </w:r>
      <w:r>
        <w:rPr>
          <w:rFonts w:ascii="仿宋" w:hAnsi="仿宋" w:eastAsia="仿宋"/>
          <w:b w:val="0"/>
          <w:kern w:val="0"/>
          <w:sz w:val="32"/>
          <w:szCs w:val="32"/>
        </w:rPr>
        <w:t>宣传贯彻新《公务员法》和《党政领导干部选拔任用工作条例》，按照20字好干部标准，突出政治素质，抓好干部梯队建设和内部交流使用。</w:t>
      </w:r>
    </w:p>
    <w:p w14:paraId="5DCF6C2A">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（6）</w:t>
      </w:r>
      <w:r>
        <w:rPr>
          <w:rFonts w:ascii="仿宋" w:hAnsi="仿宋" w:eastAsia="仿宋"/>
          <w:b w:val="0"/>
          <w:kern w:val="0"/>
          <w:sz w:val="32"/>
          <w:szCs w:val="32"/>
        </w:rPr>
        <w:t>坚定不移推动全面从严治党向纵深发展</w:t>
      </w:r>
      <w:r>
        <w:rPr>
          <w:rFonts w:hint="eastAsia" w:ascii="仿宋" w:hAnsi="仿宋" w:eastAsia="仿宋"/>
          <w:b w:val="0"/>
          <w:kern w:val="0"/>
          <w:sz w:val="32"/>
          <w:szCs w:val="32"/>
        </w:rPr>
        <w:t>。一是</w:t>
      </w:r>
      <w:r>
        <w:rPr>
          <w:rFonts w:ascii="仿宋" w:hAnsi="仿宋" w:eastAsia="仿宋"/>
          <w:b w:val="0"/>
          <w:kern w:val="0"/>
          <w:sz w:val="32"/>
          <w:szCs w:val="32"/>
        </w:rPr>
        <w:t>发挥党建引领作用</w:t>
      </w:r>
      <w:r>
        <w:rPr>
          <w:rFonts w:hint="eastAsia" w:ascii="仿宋" w:hAnsi="仿宋" w:eastAsia="仿宋"/>
          <w:b w:val="0"/>
          <w:kern w:val="0"/>
          <w:sz w:val="32"/>
          <w:szCs w:val="32"/>
        </w:rPr>
        <w:t>；二是</w:t>
      </w:r>
      <w:r>
        <w:rPr>
          <w:rFonts w:ascii="仿宋" w:hAnsi="仿宋" w:eastAsia="仿宋"/>
          <w:b w:val="0"/>
          <w:kern w:val="0"/>
          <w:sz w:val="32"/>
          <w:szCs w:val="32"/>
        </w:rPr>
        <w:t>全面落实党风廉政建设责任</w:t>
      </w:r>
      <w:r>
        <w:rPr>
          <w:rFonts w:hint="eastAsia" w:ascii="仿宋" w:hAnsi="仿宋" w:eastAsia="仿宋"/>
          <w:b w:val="0"/>
          <w:kern w:val="0"/>
          <w:sz w:val="32"/>
          <w:szCs w:val="32"/>
        </w:rPr>
        <w:t>；三是</w:t>
      </w:r>
      <w:r>
        <w:rPr>
          <w:rFonts w:ascii="仿宋" w:hAnsi="仿宋" w:eastAsia="仿宋"/>
          <w:b w:val="0"/>
          <w:kern w:val="0"/>
          <w:sz w:val="32"/>
          <w:szCs w:val="32"/>
        </w:rPr>
        <w:t>做好意识形态和宣传思想工作</w:t>
      </w:r>
      <w:r>
        <w:rPr>
          <w:rFonts w:hint="eastAsia" w:ascii="仿宋" w:hAnsi="仿宋" w:eastAsia="仿宋"/>
          <w:b w:val="0"/>
          <w:kern w:val="0"/>
          <w:sz w:val="32"/>
          <w:szCs w:val="32"/>
        </w:rPr>
        <w:t>；四是加强作风建设。</w:t>
      </w:r>
    </w:p>
    <w:p w14:paraId="7AF5BCCE">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2.年度目标</w:t>
      </w:r>
    </w:p>
    <w:p w14:paraId="3EE34268">
      <w:pPr>
        <w:pStyle w:val="10"/>
        <w:adjustRightInd w:val="0"/>
        <w:spacing w:before="0" w:after="0" w:line="560" w:lineRule="exact"/>
        <w:jc w:val="left"/>
        <w:rPr>
          <w:rFonts w:ascii="仿宋" w:hAnsi="仿宋" w:eastAsia="仿宋"/>
          <w:b w:val="0"/>
          <w:kern w:val="0"/>
          <w:sz w:val="32"/>
          <w:szCs w:val="32"/>
        </w:rPr>
      </w:pPr>
      <w:r>
        <w:rPr>
          <w:rFonts w:hint="eastAsia" w:ascii="仿宋" w:hAnsi="仿宋" w:eastAsia="仿宋"/>
          <w:b w:val="0"/>
          <w:kern w:val="0"/>
          <w:sz w:val="32"/>
          <w:szCs w:val="32"/>
        </w:rPr>
        <w:t xml:space="preserve">   （1）</w:t>
      </w:r>
      <w:r>
        <w:rPr>
          <w:rFonts w:ascii="仿宋" w:hAnsi="仿宋" w:eastAsia="仿宋"/>
          <w:b w:val="0"/>
          <w:kern w:val="0"/>
          <w:sz w:val="32"/>
          <w:szCs w:val="32"/>
        </w:rPr>
        <w:t>坚持和加强党的全面领导，切实履行全面从严治党</w:t>
      </w:r>
      <w:r>
        <w:rPr>
          <w:rFonts w:hint="eastAsia" w:ascii="仿宋" w:hAnsi="仿宋" w:eastAsia="仿宋"/>
          <w:b w:val="0"/>
          <w:kern w:val="0"/>
          <w:sz w:val="32"/>
          <w:szCs w:val="32"/>
          <w:lang w:eastAsia="zh-CN"/>
        </w:rPr>
        <w:t>主体</w:t>
      </w:r>
      <w:r>
        <w:rPr>
          <w:rFonts w:ascii="仿宋" w:hAnsi="仿宋" w:eastAsia="仿宋"/>
          <w:b w:val="0"/>
          <w:kern w:val="0"/>
          <w:sz w:val="32"/>
          <w:szCs w:val="32"/>
        </w:rPr>
        <w:t>责任。</w:t>
      </w:r>
      <w:r>
        <w:rPr>
          <w:rFonts w:hint="eastAsia" w:ascii="仿宋" w:hAnsi="仿宋" w:eastAsia="仿宋"/>
          <w:b w:val="0"/>
          <w:kern w:val="0"/>
          <w:sz w:val="32"/>
          <w:szCs w:val="32"/>
        </w:rPr>
        <w:t>以习近平新时代中国特色社会主义思想为指导，深入贯彻党的十九大精神和市委市政府决策部署，增强“四个意识”</w:t>
      </w:r>
      <w:r>
        <w:rPr>
          <w:rFonts w:hint="eastAsia" w:ascii="仿宋" w:hAnsi="仿宋" w:eastAsia="仿宋"/>
          <w:b w:val="0"/>
          <w:kern w:val="0"/>
          <w:sz w:val="32"/>
          <w:szCs w:val="32"/>
          <w:lang w:eastAsia="zh-CN"/>
        </w:rPr>
        <w:t>、</w:t>
      </w:r>
      <w:r>
        <w:rPr>
          <w:rFonts w:hint="eastAsia" w:ascii="仿宋" w:hAnsi="仿宋" w:eastAsia="仿宋"/>
          <w:b w:val="0"/>
          <w:kern w:val="0"/>
          <w:sz w:val="32"/>
          <w:szCs w:val="32"/>
        </w:rPr>
        <w:t>坚定“四个自信”</w:t>
      </w:r>
      <w:r>
        <w:rPr>
          <w:rFonts w:hint="eastAsia" w:ascii="仿宋" w:hAnsi="仿宋" w:eastAsia="仿宋"/>
          <w:b w:val="0"/>
          <w:kern w:val="0"/>
          <w:sz w:val="32"/>
          <w:szCs w:val="32"/>
          <w:lang w:eastAsia="zh-CN"/>
        </w:rPr>
        <w:t>、</w:t>
      </w:r>
      <w:bookmarkStart w:id="4" w:name="_GoBack"/>
      <w:bookmarkEnd w:id="4"/>
      <w:r>
        <w:rPr>
          <w:rFonts w:hint="eastAsia" w:ascii="仿宋" w:hAnsi="仿宋" w:eastAsia="仿宋"/>
          <w:b w:val="0"/>
          <w:kern w:val="0"/>
          <w:sz w:val="32"/>
          <w:szCs w:val="32"/>
        </w:rPr>
        <w:t>做到“两个维护”，切实加强局系统意识形态工作，进一步加强和改进全局工作作风。</w:t>
      </w:r>
    </w:p>
    <w:p w14:paraId="7A77018D">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2）落实过紧日子要求，推动节约型机关创建。一是高站位开展制止餐饮浪费活动；二是高效益盘活机关房产资源；三是高标准提升信息平台调度能力；四是高水平推动合同能源管理；五是高起点做好生活垃圾强制分类。</w:t>
      </w:r>
    </w:p>
    <w:p w14:paraId="4ADADABE">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（3）聚焦机关事务重点工作和专项任务落实，围绕中心服务大局。一是全力支持六合区加快高质量发展；二是全力推动机关事务机构职能建设；三是全力以赴做好疫情防控。</w:t>
      </w:r>
    </w:p>
    <w:p w14:paraId="67704D18">
      <w:pPr>
        <w:pStyle w:val="10"/>
        <w:spacing w:before="0" w:after="0" w:line="560" w:lineRule="exact"/>
        <w:ind w:firstLine="640" w:firstLineChars="200"/>
        <w:jc w:val="both"/>
        <w:rPr>
          <w:rFonts w:ascii="仿宋" w:hAnsi="仿宋" w:eastAsia="仿宋"/>
          <w:b w:val="0"/>
          <w:kern w:val="0"/>
          <w:sz w:val="32"/>
          <w:szCs w:val="32"/>
        </w:rPr>
      </w:pPr>
      <w:r>
        <w:rPr>
          <w:rFonts w:hint="eastAsia" w:ascii="仿宋" w:hAnsi="仿宋" w:eastAsia="仿宋"/>
          <w:b w:val="0"/>
          <w:kern w:val="0"/>
          <w:sz w:val="32"/>
          <w:szCs w:val="32"/>
        </w:rPr>
        <w:t>（4）准确把握高质量发展的核心要义，全面提升机关事务保障管理效能。一是抓好法规制度体系建设；二是抓好服务标准化和信息化建设；三是抓好集中提前办理车辆购置更新工作；四是抓好全市机关事务系统安全生产专项整治；五是抓好后勤服务能力品质提升；六是抓好服务载体建设；七是抓好人才队伍建设和理论研究工作。</w:t>
      </w:r>
    </w:p>
    <w:p w14:paraId="5EA9C69B">
      <w:pPr>
        <w:pStyle w:val="10"/>
        <w:spacing w:before="0" w:after="0" w:line="560" w:lineRule="exact"/>
        <w:ind w:firstLine="640" w:firstLineChars="200"/>
        <w:jc w:val="both"/>
        <w:rPr>
          <w:rFonts w:ascii="黑体" w:hAnsi="黑体" w:eastAsia="黑体"/>
          <w:b w:val="0"/>
          <w:sz w:val="32"/>
          <w:szCs w:val="32"/>
        </w:rPr>
      </w:pPr>
      <w:r>
        <w:rPr>
          <w:rFonts w:ascii="黑体" w:hAnsi="黑体" w:eastAsia="黑体"/>
          <w:b w:val="0"/>
          <w:sz w:val="32"/>
          <w:szCs w:val="32"/>
        </w:rPr>
        <w:t>二</w:t>
      </w:r>
      <w:r>
        <w:rPr>
          <w:rFonts w:hint="eastAsia" w:ascii="黑体" w:hAnsi="黑体" w:eastAsia="黑体"/>
          <w:b w:val="0"/>
          <w:sz w:val="32"/>
          <w:szCs w:val="32"/>
        </w:rPr>
        <w:t>、评价结论</w:t>
      </w:r>
    </w:p>
    <w:p w14:paraId="558F5C25">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以指标体系为基础，经过确认评价基础数据，按照制定的评价标准与评分规则，以100分为评价标杆分值，从部门决策、部门管理、部门履职、履职绩效、可持续发展能力等五个方面对我局机关2020年度部门整体绩效进行综合评价和量化打分。经评价，我局机关2020年度部门整体绩效评分结果为</w:t>
      </w:r>
      <w:r>
        <w:rPr>
          <w:rFonts w:ascii="仿宋" w:hAnsi="仿宋" w:eastAsia="仿宋"/>
          <w:b/>
          <w:sz w:val="32"/>
          <w:szCs w:val="32"/>
        </w:rPr>
        <w:t>98.</w:t>
      </w:r>
      <w:r>
        <w:rPr>
          <w:rFonts w:hint="eastAsia" w:ascii="仿宋" w:hAnsi="仿宋" w:eastAsia="仿宋"/>
          <w:b/>
          <w:sz w:val="32"/>
          <w:szCs w:val="32"/>
        </w:rPr>
        <w:t>78</w:t>
      </w:r>
      <w:r>
        <w:rPr>
          <w:rFonts w:hint="eastAsia" w:ascii="仿宋" w:hAnsi="仿宋" w:eastAsia="仿宋"/>
          <w:sz w:val="32"/>
          <w:szCs w:val="32"/>
        </w:rPr>
        <w:t>分（详见附件：《南京市机关事务管理局2020年度部门整体支出绩效综合评价表》），等级“</w:t>
      </w:r>
      <w:r>
        <w:rPr>
          <w:rFonts w:hint="eastAsia" w:ascii="仿宋" w:hAnsi="仿宋" w:eastAsia="仿宋"/>
          <w:b/>
          <w:sz w:val="32"/>
          <w:szCs w:val="32"/>
        </w:rPr>
        <w:t>优秀</w:t>
      </w:r>
      <w:r>
        <w:rPr>
          <w:rFonts w:hint="eastAsia" w:ascii="仿宋" w:hAnsi="仿宋" w:eastAsia="仿宋"/>
          <w:sz w:val="32"/>
          <w:szCs w:val="32"/>
        </w:rPr>
        <w:t>”。</w:t>
      </w:r>
    </w:p>
    <w:p w14:paraId="33B188E9">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三、部门履职成效</w:t>
      </w:r>
    </w:p>
    <w:p w14:paraId="474B64C7">
      <w:pPr>
        <w:pStyle w:val="3"/>
        <w:spacing w:before="0" w:after="0" w:line="560" w:lineRule="exact"/>
        <w:rPr>
          <w:rFonts w:ascii="仿宋" w:hAnsi="仿宋" w:eastAsia="仿宋"/>
          <w:b w:val="0"/>
          <w:color w:val="C00000"/>
        </w:rPr>
      </w:pPr>
      <w:r>
        <w:rPr>
          <w:rFonts w:hint="eastAsia" w:ascii="仿宋" w:hAnsi="仿宋" w:eastAsia="仿宋" w:cs="Times New Roman"/>
          <w:b w:val="0"/>
          <w:bCs w:val="0"/>
        </w:rPr>
        <w:t xml:space="preserve">   </w:t>
      </w:r>
      <w:r>
        <w:rPr>
          <w:rFonts w:hint="eastAsia" w:ascii="仿宋" w:hAnsi="仿宋" w:eastAsia="仿宋" w:cs="Times New Roman"/>
          <w:b w:val="0"/>
          <w:bCs w:val="0"/>
          <w:lang w:val="en-US" w:eastAsia="zh-CN"/>
        </w:rPr>
        <w:t xml:space="preserve"> </w:t>
      </w:r>
      <w:r>
        <w:rPr>
          <w:rFonts w:hint="eastAsia" w:ascii="仿宋" w:hAnsi="仿宋" w:eastAsia="仿宋" w:cs="Times New Roman"/>
          <w:b w:val="0"/>
          <w:bCs w:val="0"/>
        </w:rPr>
        <w:t>（一）办公用房管理情况</w:t>
      </w:r>
    </w:p>
    <w:p w14:paraId="11A290C7">
      <w:pPr>
        <w:spacing w:line="560" w:lineRule="exact"/>
        <w:ind w:firstLine="640" w:firstLineChars="200"/>
        <w:rPr>
          <w:rFonts w:ascii="仿宋" w:hAnsi="仿宋" w:eastAsia="仿宋"/>
          <w:sz w:val="32"/>
          <w:szCs w:val="32"/>
        </w:rPr>
      </w:pPr>
      <w:r>
        <w:rPr>
          <w:rFonts w:ascii="仿宋" w:hAnsi="仿宋" w:eastAsia="仿宋"/>
          <w:sz w:val="32"/>
          <w:szCs w:val="32"/>
        </w:rPr>
        <w:t>推进“互联网+”深度融入办公用房管理工作，实施并完成办公用房管理信息系统全市“一张网”建设，进一步理顺优化监管体系和业务流程</w:t>
      </w:r>
      <w:r>
        <w:rPr>
          <w:rFonts w:hint="eastAsia" w:ascii="仿宋" w:hAnsi="仿宋" w:eastAsia="仿宋"/>
          <w:sz w:val="32"/>
          <w:szCs w:val="32"/>
        </w:rPr>
        <w:t>；</w:t>
      </w:r>
      <w:r>
        <w:rPr>
          <w:rFonts w:ascii="仿宋" w:hAnsi="仿宋" w:eastAsia="仿宋"/>
          <w:sz w:val="32"/>
          <w:szCs w:val="32"/>
        </w:rPr>
        <w:t>推动集中统一管理制度落地落实</w:t>
      </w:r>
      <w:r>
        <w:rPr>
          <w:rFonts w:hint="eastAsia" w:ascii="仿宋" w:hAnsi="仿宋" w:eastAsia="仿宋"/>
          <w:sz w:val="32"/>
          <w:szCs w:val="32"/>
        </w:rPr>
        <w:t>，继续优化党政机关布局，完成部分单位整建制搬迁及办公用房优化整合工作；落实政府要“过紧日子”要求，严格控制党政机关维修改造项目；</w:t>
      </w:r>
      <w:r>
        <w:rPr>
          <w:rFonts w:ascii="仿宋" w:hAnsi="仿宋" w:eastAsia="仿宋"/>
          <w:sz w:val="32"/>
          <w:szCs w:val="32"/>
        </w:rPr>
        <w:t>完成29处房产实测</w:t>
      </w:r>
      <w:r>
        <w:rPr>
          <w:rFonts w:hint="eastAsia" w:ascii="仿宋" w:hAnsi="仿宋" w:eastAsia="仿宋"/>
          <w:sz w:val="32"/>
          <w:szCs w:val="32"/>
        </w:rPr>
        <w:t>、</w:t>
      </w:r>
      <w:r>
        <w:rPr>
          <w:rFonts w:ascii="仿宋" w:hAnsi="仿宋" w:eastAsia="仿宋"/>
          <w:sz w:val="32"/>
          <w:szCs w:val="32"/>
        </w:rPr>
        <w:t>16处历史遗留问题房产受理审核工作，</w:t>
      </w:r>
      <w:r>
        <w:rPr>
          <w:rFonts w:hint="eastAsia" w:ascii="仿宋" w:hAnsi="仿宋" w:eastAsia="仿宋"/>
          <w:sz w:val="32"/>
          <w:szCs w:val="32"/>
        </w:rPr>
        <w:t>建筑面积</w:t>
      </w:r>
      <w:r>
        <w:rPr>
          <w:rFonts w:ascii="仿宋" w:hAnsi="仿宋" w:eastAsia="仿宋"/>
          <w:sz w:val="32"/>
          <w:szCs w:val="32"/>
        </w:rPr>
        <w:t>约9.8万平方米，完成市重点考核(新增房产)确权登记4.5万平方米</w:t>
      </w:r>
      <w:r>
        <w:rPr>
          <w:rFonts w:hint="eastAsia" w:ascii="仿宋" w:hAnsi="仿宋" w:eastAsia="仿宋"/>
          <w:sz w:val="32"/>
          <w:szCs w:val="32"/>
        </w:rPr>
        <w:t>，</w:t>
      </w:r>
      <w:r>
        <w:rPr>
          <w:rFonts w:ascii="仿宋" w:hAnsi="仿宋" w:eastAsia="仿宋"/>
          <w:sz w:val="32"/>
          <w:szCs w:val="32"/>
        </w:rPr>
        <w:t>确权登记比例94%以上</w:t>
      </w:r>
      <w:r>
        <w:rPr>
          <w:rFonts w:hint="eastAsia" w:ascii="仿宋" w:hAnsi="仿宋" w:eastAsia="仿宋"/>
          <w:sz w:val="32"/>
          <w:szCs w:val="32"/>
        </w:rPr>
        <w:t>；</w:t>
      </w:r>
      <w:r>
        <w:rPr>
          <w:rFonts w:ascii="仿宋" w:hAnsi="仿宋" w:eastAsia="仿宋"/>
          <w:sz w:val="32"/>
          <w:szCs w:val="32"/>
        </w:rPr>
        <w:t>落实疫情防控期间对小微企业租金减免政策</w:t>
      </w:r>
      <w:r>
        <w:rPr>
          <w:rFonts w:hint="eastAsia" w:ascii="仿宋" w:hAnsi="仿宋" w:eastAsia="仿宋"/>
          <w:sz w:val="32"/>
          <w:szCs w:val="32"/>
        </w:rPr>
        <w:t>，</w:t>
      </w:r>
      <w:r>
        <w:rPr>
          <w:rFonts w:ascii="仿宋" w:hAnsi="仿宋" w:eastAsia="仿宋"/>
          <w:sz w:val="32"/>
          <w:szCs w:val="32"/>
        </w:rPr>
        <w:t>积极</w:t>
      </w:r>
      <w:r>
        <w:rPr>
          <w:rFonts w:hint="eastAsia" w:ascii="仿宋" w:hAnsi="仿宋" w:eastAsia="仿宋"/>
          <w:sz w:val="32"/>
          <w:szCs w:val="32"/>
        </w:rPr>
        <w:t>推进闲置资源分类处置，确保国有资产保值增值</w:t>
      </w:r>
      <w:r>
        <w:rPr>
          <w:rFonts w:ascii="仿宋" w:hAnsi="仿宋" w:eastAsia="仿宋"/>
          <w:sz w:val="32"/>
          <w:szCs w:val="32"/>
        </w:rPr>
        <w:t>。</w:t>
      </w:r>
    </w:p>
    <w:p w14:paraId="5913EB24">
      <w:pPr>
        <w:pStyle w:val="3"/>
        <w:spacing w:before="0" w:after="0" w:line="560" w:lineRule="exact"/>
        <w:ind w:firstLine="640" w:firstLineChars="200"/>
        <w:rPr>
          <w:rFonts w:ascii="Times New Roman" w:hAnsi="Times New Roman" w:eastAsia="仿宋" w:cs="Times New Roman"/>
          <w:b w:val="0"/>
          <w:bCs w:val="0"/>
          <w:color w:val="000000"/>
        </w:rPr>
      </w:pPr>
      <w:r>
        <w:rPr>
          <w:rFonts w:hint="eastAsia" w:ascii="Times New Roman" w:hAnsi="Times New Roman" w:eastAsia="仿宋" w:cs="Times New Roman"/>
          <w:b w:val="0"/>
          <w:bCs w:val="0"/>
          <w:color w:val="000000"/>
        </w:rPr>
        <w:t>（二）公务用车管理情况</w:t>
      </w:r>
    </w:p>
    <w:p w14:paraId="63056F41">
      <w:pPr>
        <w:spacing w:line="560" w:lineRule="exact"/>
        <w:ind w:firstLine="640" w:firstLineChars="200"/>
        <w:rPr>
          <w:rFonts w:ascii="仿宋" w:hAnsi="仿宋" w:eastAsia="仿宋"/>
          <w:sz w:val="32"/>
          <w:szCs w:val="32"/>
        </w:rPr>
      </w:pPr>
      <w:r>
        <w:rPr>
          <w:rFonts w:ascii="仿宋" w:hAnsi="仿宋" w:eastAsia="仿宋"/>
          <w:sz w:val="32"/>
          <w:szCs w:val="32"/>
        </w:rPr>
        <w:t>扎实履行管理、服务、保障职能，推动机关公车使用管理工作高质量发展</w:t>
      </w:r>
      <w:r>
        <w:rPr>
          <w:rFonts w:hint="eastAsia" w:ascii="仿宋" w:hAnsi="仿宋" w:eastAsia="仿宋"/>
          <w:sz w:val="32"/>
          <w:szCs w:val="32"/>
        </w:rPr>
        <w:t>;</w:t>
      </w:r>
      <w:r>
        <w:rPr>
          <w:rFonts w:ascii="仿宋" w:hAnsi="仿宋" w:eastAsia="仿宋"/>
          <w:sz w:val="32"/>
          <w:szCs w:val="32"/>
        </w:rPr>
        <w:t>正式出台《南京市党政机关公务用车管理办法》</w:t>
      </w:r>
      <w:r>
        <w:rPr>
          <w:rFonts w:hint="eastAsia" w:ascii="仿宋" w:hAnsi="仿宋" w:eastAsia="仿宋"/>
          <w:sz w:val="32"/>
          <w:szCs w:val="32"/>
        </w:rPr>
        <w:t>,</w:t>
      </w:r>
      <w:r>
        <w:rPr>
          <w:rFonts w:ascii="仿宋" w:hAnsi="仿宋" w:eastAsia="仿宋"/>
          <w:sz w:val="32"/>
          <w:szCs w:val="32"/>
        </w:rPr>
        <w:t>结合年统分级分批宣贯；事业单位公车平台化、信息化在全市得到落实，事业单位开启同步管理模式。</w:t>
      </w:r>
    </w:p>
    <w:p w14:paraId="2851B7EE">
      <w:pPr>
        <w:pStyle w:val="3"/>
        <w:spacing w:before="0" w:after="0" w:line="560" w:lineRule="exact"/>
        <w:ind w:firstLine="600" w:firstLineChars="200"/>
        <w:rPr>
          <w:rFonts w:ascii="仿宋" w:hAnsi="仿宋" w:eastAsia="仿宋" w:cs="Times New Roman"/>
          <w:b w:val="0"/>
          <w:bCs w:val="0"/>
        </w:rPr>
      </w:pPr>
      <w:r>
        <w:rPr>
          <w:rFonts w:hint="eastAsia" w:ascii="Times New Roman" w:hAnsi="Times New Roman" w:eastAsia="仿宋" w:cs="Times New Roman"/>
          <w:b w:val="0"/>
          <w:bCs w:val="0"/>
          <w:sz w:val="30"/>
          <w:szCs w:val="30"/>
        </w:rPr>
        <w:t xml:space="preserve"> （三</w:t>
      </w:r>
      <w:r>
        <w:rPr>
          <w:rFonts w:hint="eastAsia" w:ascii="仿宋" w:hAnsi="仿宋" w:eastAsia="仿宋" w:cs="Times New Roman"/>
          <w:b w:val="0"/>
          <w:bCs w:val="0"/>
        </w:rPr>
        <w:t>）后勤服务监管情况</w:t>
      </w:r>
    </w:p>
    <w:p w14:paraId="2C23B578">
      <w:pPr>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rPr>
        <w:t>一是</w:t>
      </w:r>
      <w:r>
        <w:rPr>
          <w:rFonts w:eastAsia="仿宋"/>
          <w:sz w:val="30"/>
          <w:szCs w:val="30"/>
        </w:rPr>
        <w:t>建立服务质量日常监管机制</w:t>
      </w:r>
      <w:r>
        <w:rPr>
          <w:rFonts w:hint="eastAsia" w:ascii="仿宋" w:hAnsi="仿宋" w:eastAsia="仿宋"/>
          <w:sz w:val="32"/>
          <w:szCs w:val="32"/>
        </w:rPr>
        <w:t>。</w:t>
      </w:r>
      <w:r>
        <w:rPr>
          <w:rFonts w:ascii="仿宋" w:hAnsi="仿宋" w:eastAsia="仿宋"/>
          <w:sz w:val="32"/>
          <w:szCs w:val="32"/>
        </w:rPr>
        <w:t>以《服务质量监管办法》为依据，多措并举开展服务质量监管</w:t>
      </w:r>
      <w:r>
        <w:rPr>
          <w:rFonts w:hint="eastAsia" w:ascii="仿宋" w:hAnsi="仿宋" w:eastAsia="仿宋"/>
          <w:sz w:val="32"/>
          <w:szCs w:val="32"/>
        </w:rPr>
        <w:t>，</w:t>
      </w:r>
      <w:r>
        <w:rPr>
          <w:rFonts w:ascii="仿宋" w:hAnsi="仿宋" w:eastAsia="仿宋"/>
          <w:sz w:val="32"/>
          <w:szCs w:val="32"/>
        </w:rPr>
        <w:t>编制《集中办公区服务指南》，分类梳理汇总保障服务流程。</w:t>
      </w:r>
      <w:r>
        <w:rPr>
          <w:rFonts w:hint="eastAsia" w:ascii="仿宋" w:hAnsi="仿宋" w:eastAsia="仿宋"/>
          <w:b/>
          <w:bCs/>
          <w:sz w:val="32"/>
          <w:szCs w:val="32"/>
        </w:rPr>
        <w:t>二是</w:t>
      </w:r>
      <w:r>
        <w:rPr>
          <w:rFonts w:ascii="仿宋" w:hAnsi="仿宋" w:eastAsia="仿宋"/>
          <w:sz w:val="32"/>
          <w:szCs w:val="32"/>
        </w:rPr>
        <w:t>切实</w:t>
      </w:r>
      <w:r>
        <w:rPr>
          <w:rFonts w:hint="eastAsia" w:ascii="仿宋" w:hAnsi="仿宋" w:eastAsia="仿宋"/>
          <w:sz w:val="32"/>
          <w:szCs w:val="32"/>
        </w:rPr>
        <w:t>推进</w:t>
      </w:r>
      <w:r>
        <w:rPr>
          <w:rFonts w:ascii="仿宋" w:hAnsi="仿宋" w:eastAsia="仿宋"/>
          <w:sz w:val="32"/>
          <w:szCs w:val="32"/>
        </w:rPr>
        <w:t>党政机关垃圾分类工作。研究制定《全市党政机关“十个一”工作方案》等5个文件，开展形式多样的垃圾分类知识宣传活动，启动</w:t>
      </w:r>
      <w:r>
        <w:rPr>
          <w:rFonts w:hint="eastAsia" w:ascii="仿宋" w:hAnsi="仿宋" w:eastAsia="仿宋"/>
          <w:sz w:val="32"/>
          <w:szCs w:val="32"/>
        </w:rPr>
        <w:t>6家单位</w:t>
      </w:r>
      <w:r>
        <w:rPr>
          <w:rFonts w:ascii="仿宋" w:hAnsi="仿宋" w:eastAsia="仿宋"/>
          <w:sz w:val="32"/>
          <w:szCs w:val="32"/>
        </w:rPr>
        <w:t>先行先试，强化示范引导。召开全市党政机关垃圾分类工</w:t>
      </w:r>
    </w:p>
    <w:p w14:paraId="5158B7D7">
      <w:pPr>
        <w:snapToGrid w:val="0"/>
        <w:spacing w:line="560" w:lineRule="exact"/>
        <w:rPr>
          <w:rFonts w:ascii="仿宋" w:hAnsi="仿宋" w:eastAsia="仿宋"/>
          <w:sz w:val="32"/>
          <w:szCs w:val="32"/>
        </w:rPr>
      </w:pPr>
      <w:r>
        <w:rPr>
          <w:rFonts w:ascii="仿宋" w:hAnsi="仿宋" w:eastAsia="仿宋"/>
          <w:sz w:val="32"/>
          <w:szCs w:val="32"/>
        </w:rPr>
        <w:t>作推进现场会，实现生活垃圾强制分类全面覆盖。</w:t>
      </w:r>
      <w:r>
        <w:rPr>
          <w:rFonts w:hint="eastAsia" w:ascii="仿宋" w:hAnsi="仿宋" w:eastAsia="仿宋"/>
          <w:b/>
          <w:bCs/>
          <w:sz w:val="32"/>
          <w:szCs w:val="32"/>
        </w:rPr>
        <w:t>三是</w:t>
      </w:r>
      <w:r>
        <w:rPr>
          <w:rFonts w:ascii="仿宋" w:hAnsi="仿宋" w:eastAsia="仿宋"/>
          <w:sz w:val="32"/>
          <w:szCs w:val="32"/>
        </w:rPr>
        <w:t>严要求做好疫情防控工作。先后召开89次专项组工作会议，组织开展3次疫情防控专项检查</w:t>
      </w:r>
      <w:r>
        <w:rPr>
          <w:rFonts w:hint="eastAsia" w:ascii="仿宋" w:hAnsi="仿宋" w:eastAsia="仿宋"/>
          <w:sz w:val="32"/>
          <w:szCs w:val="32"/>
        </w:rPr>
        <w:t>，</w:t>
      </w:r>
      <w:r>
        <w:rPr>
          <w:rFonts w:ascii="仿宋" w:hAnsi="仿宋" w:eastAsia="仿宋"/>
          <w:sz w:val="32"/>
          <w:szCs w:val="32"/>
        </w:rPr>
        <w:t>制定各类指导性应对措施和落实文件20余项，完成疫情防控信息专报22期，累计完成269期信息报送</w:t>
      </w:r>
      <w:r>
        <w:rPr>
          <w:rFonts w:hint="eastAsia" w:ascii="仿宋" w:hAnsi="仿宋" w:eastAsia="仿宋"/>
          <w:sz w:val="32"/>
          <w:szCs w:val="32"/>
        </w:rPr>
        <w:t>。</w:t>
      </w:r>
    </w:p>
    <w:p w14:paraId="1D193DD2">
      <w:pPr>
        <w:pStyle w:val="3"/>
        <w:spacing w:before="0" w:after="0" w:line="560" w:lineRule="exact"/>
        <w:ind w:firstLine="640" w:firstLineChars="200"/>
        <w:rPr>
          <w:rFonts w:ascii="仿宋" w:hAnsi="仿宋" w:eastAsia="仿宋" w:cs="Times New Roman"/>
          <w:b w:val="0"/>
          <w:bCs w:val="0"/>
        </w:rPr>
      </w:pPr>
      <w:r>
        <w:rPr>
          <w:rFonts w:hint="eastAsia" w:ascii="仿宋" w:hAnsi="仿宋" w:eastAsia="仿宋" w:cs="Times New Roman"/>
          <w:b w:val="0"/>
          <w:bCs w:val="0"/>
        </w:rPr>
        <w:t>（四）基建项目完成情况</w:t>
      </w:r>
    </w:p>
    <w:p w14:paraId="27AB2BDB">
      <w:pPr>
        <w:spacing w:line="560" w:lineRule="exact"/>
        <w:ind w:firstLine="640" w:firstLineChars="200"/>
        <w:rPr>
          <w:rFonts w:eastAsia="仿宋_GB2312"/>
          <w:sz w:val="30"/>
          <w:szCs w:val="30"/>
        </w:rPr>
      </w:pPr>
      <w:r>
        <w:rPr>
          <w:rFonts w:ascii="仿宋" w:hAnsi="仿宋" w:eastAsia="仿宋"/>
          <w:sz w:val="32"/>
          <w:szCs w:val="32"/>
        </w:rPr>
        <w:t>认真研究基建工作的发展趋势，把握工作动向。结合工作实际，修订完善了局基本建设项目管理办法，并规范与之配套的施工合同。全年紧紧围绕服务保障中心工作，</w:t>
      </w:r>
      <w:r>
        <w:rPr>
          <w:rFonts w:hint="eastAsia" w:ascii="仿宋" w:hAnsi="仿宋" w:eastAsia="仿宋"/>
          <w:sz w:val="32"/>
          <w:szCs w:val="32"/>
        </w:rPr>
        <w:t>实施人民大会堂修缮、</w:t>
      </w:r>
      <w:r>
        <w:rPr>
          <w:rFonts w:ascii="仿宋" w:hAnsi="仿宋" w:eastAsia="仿宋"/>
          <w:sz w:val="32"/>
          <w:szCs w:val="32"/>
        </w:rPr>
        <w:t>机关</w:t>
      </w:r>
      <w:r>
        <w:rPr>
          <w:rFonts w:hint="eastAsia" w:ascii="仿宋" w:hAnsi="仿宋" w:eastAsia="仿宋"/>
          <w:sz w:val="32"/>
          <w:szCs w:val="32"/>
        </w:rPr>
        <w:t>二</w:t>
      </w:r>
      <w:r>
        <w:rPr>
          <w:rFonts w:ascii="仿宋" w:hAnsi="仿宋" w:eastAsia="仿宋"/>
          <w:sz w:val="32"/>
          <w:szCs w:val="32"/>
        </w:rPr>
        <w:t>食堂</w:t>
      </w:r>
      <w:r>
        <w:rPr>
          <w:rFonts w:hint="eastAsia" w:ascii="仿宋" w:hAnsi="仿宋" w:eastAsia="仿宋"/>
          <w:sz w:val="32"/>
          <w:szCs w:val="32"/>
        </w:rPr>
        <w:t>改造、武庙遗址大门修缮等9个</w:t>
      </w:r>
      <w:r>
        <w:rPr>
          <w:rFonts w:ascii="仿宋" w:hAnsi="仿宋" w:eastAsia="仿宋"/>
          <w:sz w:val="32"/>
          <w:szCs w:val="32"/>
        </w:rPr>
        <w:t>维修改造项目</w:t>
      </w:r>
      <w:r>
        <w:rPr>
          <w:rFonts w:hint="eastAsia" w:ascii="仿宋" w:hAnsi="仿宋" w:eastAsia="仿宋"/>
          <w:sz w:val="32"/>
          <w:szCs w:val="32"/>
        </w:rPr>
        <w:t>，</w:t>
      </w:r>
      <w:r>
        <w:rPr>
          <w:rFonts w:ascii="仿宋" w:hAnsi="仿宋" w:eastAsia="仿宋"/>
          <w:sz w:val="32"/>
          <w:szCs w:val="32"/>
        </w:rPr>
        <w:t>总投资</w:t>
      </w:r>
      <w:r>
        <w:rPr>
          <w:rFonts w:hint="eastAsia" w:ascii="仿宋" w:hAnsi="仿宋" w:eastAsia="仿宋"/>
          <w:sz w:val="32"/>
          <w:szCs w:val="32"/>
        </w:rPr>
        <w:t>14352万</w:t>
      </w:r>
      <w:r>
        <w:rPr>
          <w:rFonts w:ascii="仿宋" w:hAnsi="仿宋" w:eastAsia="仿宋"/>
          <w:sz w:val="32"/>
          <w:szCs w:val="32"/>
        </w:rPr>
        <w:t>元。</w:t>
      </w:r>
    </w:p>
    <w:p w14:paraId="6FA276B1">
      <w:pPr>
        <w:pStyle w:val="3"/>
        <w:spacing w:before="0" w:after="0" w:line="560" w:lineRule="exact"/>
        <w:ind w:firstLine="640" w:firstLineChars="200"/>
        <w:rPr>
          <w:rFonts w:ascii="仿宋" w:hAnsi="仿宋" w:eastAsia="仿宋" w:cs="Times New Roman"/>
          <w:b w:val="0"/>
          <w:bCs w:val="0"/>
        </w:rPr>
      </w:pPr>
      <w:r>
        <w:rPr>
          <w:rFonts w:hint="eastAsia" w:ascii="仿宋" w:hAnsi="仿宋" w:eastAsia="仿宋" w:cs="Times New Roman"/>
          <w:b w:val="0"/>
          <w:bCs w:val="0"/>
        </w:rPr>
        <w:t>（五）机关事务安全生产情况</w:t>
      </w:r>
    </w:p>
    <w:p w14:paraId="4D65C2E2">
      <w:pPr>
        <w:widowControl w:val="0"/>
        <w:spacing w:line="560" w:lineRule="exact"/>
        <w:ind w:firstLine="640" w:firstLineChars="200"/>
        <w:rPr>
          <w:rFonts w:ascii="仿宋" w:hAnsi="仿宋" w:eastAsia="仿宋"/>
          <w:sz w:val="32"/>
          <w:szCs w:val="32"/>
        </w:rPr>
      </w:pPr>
      <w:r>
        <w:rPr>
          <w:rFonts w:ascii="仿宋" w:hAnsi="仿宋" w:eastAsia="仿宋"/>
          <w:sz w:val="32"/>
          <w:szCs w:val="32"/>
        </w:rPr>
        <w:t>组织成立机关事务安全生产专项整治组</w:t>
      </w:r>
      <w:r>
        <w:rPr>
          <w:rFonts w:hint="eastAsia" w:ascii="仿宋" w:hAnsi="仿宋" w:eastAsia="仿宋"/>
          <w:sz w:val="32"/>
          <w:szCs w:val="32"/>
        </w:rPr>
        <w:t>,</w:t>
      </w:r>
      <w:r>
        <w:rPr>
          <w:rFonts w:ascii="仿宋" w:hAnsi="仿宋" w:eastAsia="仿宋"/>
          <w:sz w:val="32"/>
          <w:szCs w:val="32"/>
        </w:rPr>
        <w:t>统一指挥、建立专班集中办公。全年，围绕“查”的主线，开展四次集中检查，上门103家市、区机关单位、658个具体点位，发现隐患1322项；丰富“实”的内容，开展电动自行车整治为主的四个专项活动；突出“改”的重点，隐患整改率达96.7%</w:t>
      </w:r>
      <w:r>
        <w:rPr>
          <w:rFonts w:hint="eastAsia" w:ascii="仿宋" w:hAnsi="仿宋" w:eastAsia="仿宋"/>
          <w:sz w:val="32"/>
          <w:szCs w:val="32"/>
        </w:rPr>
        <w:t>;</w:t>
      </w:r>
      <w:r>
        <w:rPr>
          <w:rFonts w:ascii="仿宋" w:hAnsi="仿宋" w:eastAsia="仿宋"/>
          <w:sz w:val="32"/>
          <w:szCs w:val="32"/>
        </w:rPr>
        <w:t>出台《市级机关办公区安全保卫工作管理规定》</w:t>
      </w:r>
      <w:r>
        <w:rPr>
          <w:rFonts w:hint="eastAsia" w:ascii="仿宋" w:hAnsi="仿宋" w:eastAsia="仿宋"/>
          <w:sz w:val="32"/>
          <w:szCs w:val="32"/>
        </w:rPr>
        <w:t>,</w:t>
      </w:r>
      <w:r>
        <w:rPr>
          <w:rFonts w:ascii="仿宋" w:hAnsi="仿宋" w:eastAsia="仿宋"/>
          <w:sz w:val="32"/>
          <w:szCs w:val="32"/>
        </w:rPr>
        <w:t>各级职责更加清晰、工作机制趋向成熟，三级责任体系基本形成，市、区两级机关事务部门职能得到加强。</w:t>
      </w:r>
    </w:p>
    <w:p w14:paraId="78451C02">
      <w:pPr>
        <w:pStyle w:val="3"/>
        <w:spacing w:before="0" w:after="0" w:line="560" w:lineRule="exact"/>
        <w:ind w:firstLine="640" w:firstLineChars="200"/>
        <w:rPr>
          <w:rFonts w:ascii="Times New Roman" w:hAnsi="Times New Roman" w:eastAsia="仿宋" w:cs="Times New Roman"/>
          <w:b w:val="0"/>
          <w:bCs w:val="0"/>
          <w:color w:val="000000"/>
        </w:rPr>
      </w:pPr>
      <w:r>
        <w:rPr>
          <w:rFonts w:hint="eastAsia" w:ascii="Times New Roman" w:hAnsi="Times New Roman" w:eastAsia="仿宋" w:cs="Times New Roman"/>
          <w:b w:val="0"/>
          <w:bCs w:val="0"/>
          <w:color w:val="000000"/>
        </w:rPr>
        <w:t>（六）岗位工作标准化建设</w:t>
      </w:r>
    </w:p>
    <w:p w14:paraId="777349C6">
      <w:pPr>
        <w:spacing w:line="560" w:lineRule="exact"/>
        <w:ind w:firstLine="640" w:firstLineChars="200"/>
        <w:rPr>
          <w:rFonts w:eastAsia="仿宋"/>
          <w:color w:val="000000"/>
          <w:sz w:val="32"/>
          <w:szCs w:val="32"/>
        </w:rPr>
      </w:pPr>
      <w:r>
        <w:rPr>
          <w:rFonts w:hint="eastAsia" w:eastAsia="仿宋"/>
          <w:color w:val="000000"/>
          <w:sz w:val="32"/>
          <w:szCs w:val="32"/>
        </w:rPr>
        <w:t>扎实</w:t>
      </w:r>
      <w:r>
        <w:rPr>
          <w:rFonts w:eastAsia="仿宋"/>
          <w:color w:val="000000"/>
          <w:sz w:val="32"/>
          <w:szCs w:val="32"/>
        </w:rPr>
        <w:t>推动标准化建设向精细化、务实处</w:t>
      </w:r>
      <w:r>
        <w:rPr>
          <w:rFonts w:hint="eastAsia" w:eastAsia="仿宋"/>
          <w:color w:val="000000"/>
          <w:sz w:val="32"/>
          <w:szCs w:val="32"/>
        </w:rPr>
        <w:t>发展。</w:t>
      </w:r>
      <w:r>
        <w:rPr>
          <w:rFonts w:eastAsia="仿宋"/>
          <w:b/>
          <w:color w:val="000000"/>
          <w:sz w:val="32"/>
          <w:szCs w:val="32"/>
        </w:rPr>
        <w:t>一是</w:t>
      </w:r>
      <w:r>
        <w:rPr>
          <w:rFonts w:eastAsia="仿宋"/>
          <w:color w:val="000000"/>
          <w:sz w:val="32"/>
          <w:szCs w:val="32"/>
        </w:rPr>
        <w:t xml:space="preserve"> “南京市公务用车标准化”</w:t>
      </w:r>
      <w:r>
        <w:rPr>
          <w:rFonts w:hint="eastAsia" w:eastAsia="仿宋"/>
          <w:color w:val="000000"/>
          <w:sz w:val="32"/>
          <w:szCs w:val="32"/>
        </w:rPr>
        <w:t>获得</w:t>
      </w:r>
      <w:r>
        <w:rPr>
          <w:rFonts w:eastAsia="仿宋"/>
          <w:color w:val="000000"/>
          <w:sz w:val="32"/>
          <w:szCs w:val="32"/>
        </w:rPr>
        <w:t>江苏省社会管理和公共服务类标准试点项目，</w:t>
      </w:r>
      <w:r>
        <w:rPr>
          <w:rFonts w:hint="eastAsia" w:eastAsia="仿宋"/>
          <w:color w:val="000000"/>
          <w:sz w:val="32"/>
          <w:szCs w:val="32"/>
        </w:rPr>
        <w:t>顺利通过省级验收，</w:t>
      </w:r>
      <w:r>
        <w:rPr>
          <w:rFonts w:eastAsia="仿宋"/>
          <w:color w:val="000000"/>
          <w:sz w:val="32"/>
          <w:szCs w:val="32"/>
        </w:rPr>
        <w:t>形成公务用车标准体系；</w:t>
      </w:r>
      <w:r>
        <w:rPr>
          <w:rFonts w:eastAsia="仿宋"/>
          <w:b/>
          <w:color w:val="000000"/>
          <w:sz w:val="32"/>
          <w:szCs w:val="32"/>
        </w:rPr>
        <w:t>二是</w:t>
      </w:r>
      <w:r>
        <w:rPr>
          <w:rFonts w:hint="eastAsia" w:eastAsia="仿宋"/>
          <w:color w:val="000000"/>
          <w:sz w:val="32"/>
          <w:szCs w:val="32"/>
        </w:rPr>
        <w:t>积极</w:t>
      </w:r>
      <w:r>
        <w:rPr>
          <w:rFonts w:eastAsia="仿宋"/>
          <w:color w:val="000000"/>
          <w:sz w:val="32"/>
          <w:szCs w:val="32"/>
        </w:rPr>
        <w:t>组织南京市地方标准项目申报，其中</w:t>
      </w:r>
      <w:r>
        <w:rPr>
          <w:rFonts w:hint="eastAsia" w:eastAsia="仿宋"/>
          <w:color w:val="000000"/>
          <w:sz w:val="32"/>
          <w:szCs w:val="32"/>
        </w:rPr>
        <w:t>2项</w:t>
      </w:r>
      <w:r>
        <w:rPr>
          <w:rFonts w:eastAsia="仿宋"/>
          <w:color w:val="000000"/>
          <w:sz w:val="32"/>
          <w:szCs w:val="32"/>
        </w:rPr>
        <w:t>获批立项</w:t>
      </w:r>
      <w:r>
        <w:rPr>
          <w:rFonts w:hint="eastAsia" w:eastAsia="仿宋"/>
          <w:color w:val="000000"/>
          <w:sz w:val="32"/>
          <w:szCs w:val="32"/>
        </w:rPr>
        <w:t>；</w:t>
      </w:r>
      <w:r>
        <w:rPr>
          <w:rFonts w:eastAsia="仿宋"/>
          <w:b/>
          <w:color w:val="000000"/>
          <w:sz w:val="32"/>
          <w:szCs w:val="32"/>
        </w:rPr>
        <w:t>三是</w:t>
      </w:r>
      <w:r>
        <w:rPr>
          <w:rFonts w:hint="eastAsia" w:eastAsia="仿宋"/>
          <w:color w:val="000000"/>
          <w:sz w:val="32"/>
          <w:szCs w:val="32"/>
        </w:rPr>
        <w:t>对</w:t>
      </w:r>
      <w:r>
        <w:rPr>
          <w:rFonts w:eastAsia="仿宋"/>
          <w:color w:val="000000"/>
          <w:sz w:val="32"/>
          <w:szCs w:val="32"/>
        </w:rPr>
        <w:t>标</w:t>
      </w:r>
    </w:p>
    <w:p w14:paraId="40FDC06D">
      <w:pPr>
        <w:spacing w:line="560" w:lineRule="exact"/>
        <w:rPr>
          <w:rFonts w:eastAsia="仿宋"/>
          <w:color w:val="000000"/>
          <w:sz w:val="32"/>
          <w:szCs w:val="32"/>
        </w:rPr>
      </w:pPr>
      <w:r>
        <w:rPr>
          <w:rFonts w:eastAsia="仿宋"/>
          <w:color w:val="000000"/>
          <w:sz w:val="32"/>
          <w:szCs w:val="32"/>
        </w:rPr>
        <w:t>准化工作优化提升，促进服务标准化、统一化、规范化</w:t>
      </w:r>
      <w:r>
        <w:rPr>
          <w:rFonts w:hint="eastAsia" w:eastAsia="仿宋"/>
          <w:color w:val="000000"/>
          <w:sz w:val="32"/>
          <w:szCs w:val="32"/>
        </w:rPr>
        <w:t>；</w:t>
      </w:r>
      <w:r>
        <w:rPr>
          <w:rFonts w:eastAsia="仿宋"/>
          <w:b/>
          <w:color w:val="000000"/>
          <w:sz w:val="32"/>
          <w:szCs w:val="32"/>
        </w:rPr>
        <w:t>四是</w:t>
      </w:r>
      <w:r>
        <w:rPr>
          <w:rFonts w:eastAsia="仿宋"/>
          <w:color w:val="000000"/>
          <w:sz w:val="32"/>
          <w:szCs w:val="32"/>
        </w:rPr>
        <w:t>牵头会同市财政</w:t>
      </w:r>
      <w:r>
        <w:rPr>
          <w:rFonts w:hint="eastAsia" w:eastAsia="仿宋"/>
          <w:color w:val="000000"/>
          <w:sz w:val="32"/>
          <w:szCs w:val="32"/>
        </w:rPr>
        <w:t>局</w:t>
      </w:r>
      <w:r>
        <w:rPr>
          <w:rFonts w:eastAsia="仿宋"/>
          <w:color w:val="000000"/>
          <w:sz w:val="32"/>
          <w:szCs w:val="32"/>
        </w:rPr>
        <w:t>制定</w:t>
      </w:r>
      <w:r>
        <w:rPr>
          <w:rFonts w:hint="eastAsia" w:eastAsia="仿宋"/>
          <w:color w:val="000000"/>
          <w:sz w:val="32"/>
          <w:szCs w:val="32"/>
        </w:rPr>
        <w:t>《</w:t>
      </w:r>
      <w:r>
        <w:rPr>
          <w:rFonts w:eastAsia="仿宋"/>
          <w:color w:val="000000"/>
          <w:sz w:val="32"/>
          <w:szCs w:val="32"/>
        </w:rPr>
        <w:t>南京市机关政务物业定额标准</w:t>
      </w:r>
      <w:r>
        <w:rPr>
          <w:rFonts w:hint="eastAsia" w:eastAsia="仿宋"/>
          <w:color w:val="000000"/>
          <w:sz w:val="32"/>
          <w:szCs w:val="32"/>
        </w:rPr>
        <w:t>》</w:t>
      </w:r>
      <w:r>
        <w:rPr>
          <w:rFonts w:eastAsia="仿宋"/>
          <w:color w:val="000000"/>
          <w:sz w:val="32"/>
          <w:szCs w:val="32"/>
        </w:rPr>
        <w:t>，为促进机关事务标准化，在服务保障党政机关高效运转中落实政府要“过紧日子”要求。</w:t>
      </w:r>
    </w:p>
    <w:p w14:paraId="3F3DC18A">
      <w:pPr>
        <w:pStyle w:val="3"/>
        <w:spacing w:before="0" w:after="0" w:line="560" w:lineRule="exact"/>
        <w:ind w:firstLine="640" w:firstLineChars="200"/>
        <w:rPr>
          <w:rFonts w:ascii="仿宋" w:hAnsi="仿宋" w:eastAsia="仿宋" w:cs="Times New Roman"/>
          <w:b w:val="0"/>
          <w:bCs w:val="0"/>
        </w:rPr>
      </w:pPr>
      <w:r>
        <w:rPr>
          <w:rFonts w:hint="eastAsia" w:ascii="仿宋" w:hAnsi="仿宋" w:eastAsia="仿宋" w:cs="Times New Roman"/>
          <w:b w:val="0"/>
          <w:bCs w:val="0"/>
        </w:rPr>
        <w:t>（七）党建工作情况</w:t>
      </w:r>
    </w:p>
    <w:p w14:paraId="71F31B94">
      <w:pPr>
        <w:pStyle w:val="15"/>
        <w:spacing w:line="560" w:lineRule="exact"/>
        <w:ind w:firstLine="643"/>
        <w:outlineLvl w:val="1"/>
        <w:rPr>
          <w:rFonts w:ascii="仿宋" w:hAnsi="仿宋" w:eastAsia="仿宋"/>
          <w:sz w:val="32"/>
          <w:szCs w:val="32"/>
        </w:rPr>
      </w:pPr>
      <w:r>
        <w:rPr>
          <w:rFonts w:hint="eastAsia" w:ascii="仿宋" w:hAnsi="仿宋" w:eastAsia="仿宋"/>
          <w:b/>
          <w:bCs/>
          <w:sz w:val="32"/>
          <w:szCs w:val="32"/>
        </w:rPr>
        <w:t>一是</w:t>
      </w:r>
      <w:r>
        <w:rPr>
          <w:rFonts w:ascii="仿宋" w:hAnsi="仿宋" w:eastAsia="仿宋"/>
          <w:sz w:val="32"/>
          <w:szCs w:val="32"/>
        </w:rPr>
        <w:t>始终坚持以学习贯彻习近平新时代</w:t>
      </w:r>
      <w:r>
        <w:rPr>
          <w:rFonts w:hint="eastAsia" w:ascii="仿宋" w:hAnsi="仿宋" w:eastAsia="仿宋"/>
          <w:sz w:val="32"/>
          <w:szCs w:val="32"/>
        </w:rPr>
        <w:t>中国特色</w:t>
      </w:r>
      <w:r>
        <w:rPr>
          <w:rFonts w:ascii="仿宋" w:hAnsi="仿宋" w:eastAsia="仿宋"/>
          <w:sz w:val="32"/>
          <w:szCs w:val="32"/>
        </w:rPr>
        <w:t>社会主义思想为第一议题，强化意识形态责任制落实，制定下发《关于进一步加强对论坛、讲座、报告会、研讨会等意识形态阵地管理的规定》</w:t>
      </w:r>
      <w:r>
        <w:rPr>
          <w:rFonts w:hint="eastAsia" w:ascii="仿宋" w:hAnsi="仿宋" w:eastAsia="仿宋"/>
          <w:sz w:val="32"/>
          <w:szCs w:val="32"/>
        </w:rPr>
        <w:t>，</w:t>
      </w:r>
      <w:r>
        <w:rPr>
          <w:rFonts w:ascii="仿宋" w:hAnsi="仿宋" w:eastAsia="仿宋"/>
          <w:sz w:val="32"/>
          <w:szCs w:val="32"/>
        </w:rPr>
        <w:t>制定局党组落实全面从严治党“两个责任清单”</w:t>
      </w:r>
      <w:r>
        <w:rPr>
          <w:rFonts w:hint="eastAsia" w:ascii="仿宋" w:hAnsi="仿宋" w:eastAsia="仿宋"/>
          <w:sz w:val="32"/>
          <w:szCs w:val="32"/>
        </w:rPr>
        <w:t>；</w:t>
      </w:r>
      <w:r>
        <w:rPr>
          <w:rFonts w:hint="eastAsia" w:ascii="仿宋" w:hAnsi="仿宋" w:eastAsia="仿宋"/>
          <w:b/>
          <w:bCs/>
          <w:sz w:val="32"/>
          <w:szCs w:val="32"/>
        </w:rPr>
        <w:t>二是</w:t>
      </w:r>
      <w:r>
        <w:rPr>
          <w:rFonts w:ascii="仿宋" w:hAnsi="仿宋" w:eastAsia="仿宋"/>
          <w:sz w:val="32"/>
          <w:szCs w:val="32"/>
        </w:rPr>
        <w:t>围绕“特色品牌创建”，开展党建+群建“六个一”活动，</w:t>
      </w:r>
      <w:r>
        <w:rPr>
          <w:rFonts w:hint="eastAsia" w:ascii="仿宋" w:hAnsi="仿宋" w:eastAsia="仿宋"/>
          <w:sz w:val="32"/>
          <w:szCs w:val="32"/>
        </w:rPr>
        <w:t>拍摄制作党建工作宣传片。</w:t>
      </w:r>
      <w:r>
        <w:rPr>
          <w:rFonts w:hint="eastAsia" w:ascii="仿宋" w:hAnsi="仿宋" w:eastAsia="仿宋"/>
          <w:b/>
          <w:sz w:val="32"/>
          <w:szCs w:val="32"/>
        </w:rPr>
        <w:t>三是</w:t>
      </w:r>
      <w:r>
        <w:rPr>
          <w:rFonts w:ascii="仿宋" w:hAnsi="仿宋" w:eastAsia="仿宋"/>
          <w:sz w:val="32"/>
          <w:szCs w:val="32"/>
        </w:rPr>
        <w:t>坚持趋势、问题和目标导向，认真落实机关大院增加健身场所、新城大厦书吧改造</w:t>
      </w:r>
      <w:r>
        <w:rPr>
          <w:rFonts w:hint="eastAsia" w:ascii="仿宋" w:hAnsi="仿宋" w:eastAsia="仿宋"/>
          <w:sz w:val="32"/>
          <w:szCs w:val="32"/>
        </w:rPr>
        <w:t>等</w:t>
      </w:r>
      <w:r>
        <w:rPr>
          <w:rFonts w:ascii="仿宋" w:hAnsi="仿宋" w:eastAsia="仿宋"/>
          <w:sz w:val="32"/>
          <w:szCs w:val="32"/>
        </w:rPr>
        <w:t>10个办实事项目</w:t>
      </w:r>
      <w:r>
        <w:rPr>
          <w:rFonts w:hint="eastAsia" w:ascii="仿宋" w:hAnsi="仿宋" w:eastAsia="仿宋"/>
          <w:sz w:val="32"/>
          <w:szCs w:val="32"/>
        </w:rPr>
        <w:t>；</w:t>
      </w:r>
      <w:r>
        <w:rPr>
          <w:rFonts w:hint="eastAsia" w:ascii="仿宋" w:hAnsi="仿宋" w:eastAsia="仿宋"/>
          <w:b/>
          <w:bCs/>
          <w:sz w:val="32"/>
          <w:szCs w:val="32"/>
        </w:rPr>
        <w:t>四是</w:t>
      </w:r>
      <w:r>
        <w:rPr>
          <w:rFonts w:hint="eastAsia" w:ascii="仿宋" w:hAnsi="仿宋" w:eastAsia="仿宋"/>
          <w:sz w:val="32"/>
          <w:szCs w:val="32"/>
        </w:rPr>
        <w:t>积极</w:t>
      </w:r>
      <w:r>
        <w:rPr>
          <w:rFonts w:ascii="仿宋" w:hAnsi="仿宋" w:eastAsia="仿宋"/>
          <w:sz w:val="32"/>
          <w:szCs w:val="32"/>
        </w:rPr>
        <w:t>支援社区疫情防控</w:t>
      </w:r>
      <w:r>
        <w:rPr>
          <w:rFonts w:hint="eastAsia" w:ascii="仿宋" w:hAnsi="仿宋" w:eastAsia="仿宋"/>
          <w:sz w:val="32"/>
          <w:szCs w:val="32"/>
        </w:rPr>
        <w:t>，</w:t>
      </w:r>
      <w:r>
        <w:rPr>
          <w:rFonts w:ascii="仿宋" w:hAnsi="仿宋" w:eastAsia="仿宋"/>
          <w:sz w:val="32"/>
          <w:szCs w:val="32"/>
        </w:rPr>
        <w:t>组织局机关30名党员志愿突击队连续67天深夜8小时值守站岗，引领党员在新冠疫情防控中发挥旗帜作用</w:t>
      </w:r>
      <w:r>
        <w:rPr>
          <w:rFonts w:hint="eastAsia" w:ascii="仿宋" w:hAnsi="仿宋" w:eastAsia="仿宋"/>
          <w:sz w:val="32"/>
          <w:szCs w:val="32"/>
        </w:rPr>
        <w:t>。</w:t>
      </w:r>
    </w:p>
    <w:p w14:paraId="6405561E">
      <w:pPr>
        <w:pStyle w:val="15"/>
        <w:spacing w:line="560" w:lineRule="exact"/>
        <w:ind w:firstLine="640"/>
        <w:outlineLvl w:val="1"/>
        <w:rPr>
          <w:rFonts w:ascii="仿宋" w:hAnsi="仿宋" w:eastAsia="仿宋"/>
          <w:sz w:val="32"/>
          <w:szCs w:val="32"/>
        </w:rPr>
      </w:pPr>
      <w:r>
        <w:rPr>
          <w:rFonts w:hint="eastAsia" w:ascii="仿宋" w:hAnsi="仿宋" w:eastAsia="仿宋"/>
          <w:sz w:val="32"/>
          <w:szCs w:val="32"/>
        </w:rPr>
        <w:t>（八）机关事务法治保障情况</w:t>
      </w:r>
    </w:p>
    <w:p w14:paraId="2A26FA99">
      <w:pPr>
        <w:pStyle w:val="15"/>
        <w:spacing w:line="560" w:lineRule="exact"/>
        <w:ind w:firstLine="640"/>
        <w:outlineLvl w:val="1"/>
        <w:rPr>
          <w:rFonts w:eastAsia="楷体"/>
          <w:color w:val="000000"/>
          <w:sz w:val="32"/>
          <w:szCs w:val="32"/>
        </w:rPr>
      </w:pPr>
      <w:r>
        <w:rPr>
          <w:rFonts w:hint="eastAsia" w:ascii="仿宋" w:hAnsi="仿宋" w:eastAsia="仿宋"/>
          <w:sz w:val="32"/>
          <w:szCs w:val="32"/>
        </w:rPr>
        <w:t>进一步推进</w:t>
      </w:r>
      <w:r>
        <w:rPr>
          <w:rFonts w:ascii="仿宋" w:hAnsi="仿宋" w:eastAsia="仿宋"/>
          <w:sz w:val="32"/>
          <w:szCs w:val="32"/>
        </w:rPr>
        <w:t>法治化建设向系统性、纵深处发力</w:t>
      </w:r>
      <w:r>
        <w:rPr>
          <w:rFonts w:hint="eastAsia" w:ascii="仿宋" w:hAnsi="仿宋" w:eastAsia="仿宋"/>
          <w:sz w:val="32"/>
          <w:szCs w:val="32"/>
        </w:rPr>
        <w:t>。</w:t>
      </w:r>
      <w:r>
        <w:rPr>
          <w:rFonts w:hint="eastAsia" w:ascii="仿宋" w:hAnsi="仿宋" w:eastAsia="仿宋"/>
          <w:b/>
          <w:sz w:val="32"/>
          <w:szCs w:val="32"/>
        </w:rPr>
        <w:t>一是</w:t>
      </w:r>
      <w:r>
        <w:rPr>
          <w:rFonts w:hint="eastAsia" w:ascii="仿宋" w:hAnsi="仿宋" w:eastAsia="仿宋"/>
          <w:sz w:val="32"/>
          <w:szCs w:val="32"/>
        </w:rPr>
        <w:t>开展制度建设和理论研究，积极贯彻落实《南京市机关事务管理办法》；</w:t>
      </w:r>
      <w:r>
        <w:rPr>
          <w:rFonts w:hint="eastAsia" w:ascii="仿宋" w:hAnsi="仿宋" w:eastAsia="仿宋"/>
          <w:b/>
          <w:sz w:val="32"/>
          <w:szCs w:val="32"/>
        </w:rPr>
        <w:t>二是</w:t>
      </w:r>
      <w:r>
        <w:rPr>
          <w:rFonts w:eastAsia="仿宋"/>
          <w:color w:val="000000"/>
          <w:sz w:val="32"/>
          <w:szCs w:val="32"/>
        </w:rPr>
        <w:t>以规章制度“清理规范”为突破口，牵头对11</w:t>
      </w:r>
      <w:r>
        <w:rPr>
          <w:rFonts w:hint="eastAsia" w:eastAsia="仿宋"/>
          <w:color w:val="000000"/>
          <w:sz w:val="32"/>
          <w:szCs w:val="32"/>
        </w:rPr>
        <w:t>3</w:t>
      </w:r>
      <w:r>
        <w:rPr>
          <w:rFonts w:eastAsia="仿宋"/>
          <w:color w:val="000000"/>
          <w:sz w:val="32"/>
          <w:szCs w:val="32"/>
        </w:rPr>
        <w:t>项制度进行清理规范，截至2020年</w:t>
      </w:r>
      <w:r>
        <w:rPr>
          <w:rFonts w:hint="eastAsia" w:eastAsia="仿宋"/>
          <w:color w:val="000000"/>
          <w:sz w:val="32"/>
          <w:szCs w:val="32"/>
        </w:rPr>
        <w:t>底</w:t>
      </w:r>
      <w:r>
        <w:rPr>
          <w:rFonts w:eastAsia="仿宋"/>
          <w:color w:val="000000"/>
          <w:sz w:val="32"/>
          <w:szCs w:val="32"/>
        </w:rPr>
        <w:t>，</w:t>
      </w:r>
      <w:r>
        <w:rPr>
          <w:rFonts w:hint="eastAsia" w:eastAsia="仿宋"/>
          <w:color w:val="000000"/>
          <w:sz w:val="32"/>
          <w:szCs w:val="32"/>
        </w:rPr>
        <w:t>保留30项制度、废止25项制度、</w:t>
      </w:r>
      <w:r>
        <w:rPr>
          <w:rFonts w:eastAsia="仿宋"/>
          <w:color w:val="000000"/>
          <w:sz w:val="32"/>
          <w:szCs w:val="32"/>
        </w:rPr>
        <w:t>修订5</w:t>
      </w:r>
      <w:r>
        <w:rPr>
          <w:rFonts w:hint="eastAsia" w:eastAsia="仿宋"/>
          <w:color w:val="000000"/>
          <w:sz w:val="32"/>
          <w:szCs w:val="32"/>
        </w:rPr>
        <w:t>8</w:t>
      </w:r>
      <w:r>
        <w:rPr>
          <w:rFonts w:eastAsia="仿宋"/>
          <w:color w:val="000000"/>
          <w:sz w:val="32"/>
          <w:szCs w:val="32"/>
        </w:rPr>
        <w:t>项制度</w:t>
      </w:r>
      <w:r>
        <w:rPr>
          <w:rFonts w:hint="eastAsia" w:eastAsia="仿宋"/>
          <w:color w:val="000000"/>
          <w:sz w:val="32"/>
          <w:szCs w:val="32"/>
        </w:rPr>
        <w:t>，另</w:t>
      </w:r>
      <w:r>
        <w:rPr>
          <w:rFonts w:eastAsia="仿宋"/>
          <w:color w:val="000000"/>
          <w:sz w:val="32"/>
          <w:szCs w:val="32"/>
        </w:rPr>
        <w:t>新立</w:t>
      </w:r>
      <w:r>
        <w:rPr>
          <w:rFonts w:hint="eastAsia" w:eastAsia="仿宋"/>
          <w:color w:val="000000"/>
          <w:sz w:val="32"/>
          <w:szCs w:val="32"/>
        </w:rPr>
        <w:t>5</w:t>
      </w:r>
      <w:r>
        <w:rPr>
          <w:rFonts w:eastAsia="仿宋"/>
          <w:color w:val="000000"/>
          <w:sz w:val="32"/>
          <w:szCs w:val="32"/>
        </w:rPr>
        <w:t>项制度</w:t>
      </w:r>
      <w:r>
        <w:rPr>
          <w:rFonts w:hint="eastAsia" w:eastAsia="仿宋"/>
          <w:color w:val="000000"/>
          <w:sz w:val="32"/>
          <w:szCs w:val="32"/>
        </w:rPr>
        <w:t>；</w:t>
      </w:r>
      <w:r>
        <w:rPr>
          <w:rFonts w:hint="eastAsia" w:eastAsia="仿宋"/>
          <w:b/>
          <w:color w:val="000000"/>
          <w:sz w:val="32"/>
          <w:szCs w:val="32"/>
        </w:rPr>
        <w:t>三是</w:t>
      </w:r>
      <w:r>
        <w:rPr>
          <w:rFonts w:eastAsia="仿宋"/>
          <w:color w:val="000000"/>
          <w:sz w:val="32"/>
          <w:szCs w:val="32"/>
        </w:rPr>
        <w:t>加强法治宣传教育</w:t>
      </w:r>
      <w:r>
        <w:rPr>
          <w:rFonts w:hint="eastAsia" w:eastAsia="仿宋"/>
          <w:color w:val="000000"/>
          <w:sz w:val="32"/>
          <w:szCs w:val="32"/>
        </w:rPr>
        <w:t>培训，面向全局干部职工大力推广《民</w:t>
      </w:r>
      <w:r>
        <w:rPr>
          <w:rFonts w:eastAsia="仿宋"/>
          <w:color w:val="000000"/>
          <w:sz w:val="32"/>
          <w:szCs w:val="32"/>
        </w:rPr>
        <w:t>法典</w:t>
      </w:r>
      <w:r>
        <w:rPr>
          <w:rFonts w:hint="eastAsia" w:eastAsia="仿宋"/>
          <w:color w:val="000000"/>
          <w:sz w:val="32"/>
          <w:szCs w:val="32"/>
        </w:rPr>
        <w:t>》</w:t>
      </w:r>
      <w:r>
        <w:rPr>
          <w:rFonts w:eastAsia="仿宋"/>
          <w:color w:val="000000"/>
          <w:sz w:val="32"/>
          <w:szCs w:val="32"/>
        </w:rPr>
        <w:t>《保障中小企业款项支付条例》《预算法实施条例》等</w:t>
      </w:r>
      <w:r>
        <w:rPr>
          <w:rFonts w:hint="eastAsia" w:eastAsia="仿宋"/>
          <w:color w:val="000000"/>
          <w:sz w:val="32"/>
          <w:szCs w:val="32"/>
        </w:rPr>
        <w:t>学习，</w:t>
      </w:r>
      <w:r>
        <w:rPr>
          <w:rFonts w:eastAsia="仿宋"/>
          <w:color w:val="000000"/>
          <w:sz w:val="32"/>
          <w:szCs w:val="32"/>
        </w:rPr>
        <w:t>进一步营造机关事务人知法、学法、用法的良好氛围。同时牵头组织开展南京市机关事务管理局法治建设创新奖等项目申报</w:t>
      </w:r>
      <w:r>
        <w:rPr>
          <w:rFonts w:hint="eastAsia" w:eastAsia="仿宋"/>
          <w:color w:val="000000"/>
          <w:sz w:val="32"/>
          <w:szCs w:val="32"/>
        </w:rPr>
        <w:t>，成功获评“2</w:t>
      </w:r>
      <w:r>
        <w:rPr>
          <w:rFonts w:eastAsia="仿宋"/>
          <w:color w:val="000000"/>
          <w:sz w:val="32"/>
          <w:szCs w:val="32"/>
        </w:rPr>
        <w:t>019-2020</w:t>
      </w:r>
      <w:r>
        <w:rPr>
          <w:rFonts w:hint="eastAsia" w:eastAsia="仿宋"/>
          <w:color w:val="000000"/>
          <w:sz w:val="32"/>
          <w:szCs w:val="32"/>
        </w:rPr>
        <w:t>年度法治南京建设示范单位”。</w:t>
      </w:r>
    </w:p>
    <w:p w14:paraId="0508217A">
      <w:pPr>
        <w:pStyle w:val="3"/>
        <w:spacing w:before="0" w:after="0" w:line="560" w:lineRule="exact"/>
        <w:ind w:firstLine="640" w:firstLineChars="200"/>
        <w:rPr>
          <w:rFonts w:ascii="仿宋" w:hAnsi="仿宋" w:eastAsia="仿宋" w:cs="Times New Roman"/>
          <w:b w:val="0"/>
          <w:bCs w:val="0"/>
        </w:rPr>
      </w:pPr>
      <w:r>
        <w:rPr>
          <w:rFonts w:hint="eastAsia" w:ascii="仿宋" w:hAnsi="仿宋" w:eastAsia="仿宋" w:cs="Times New Roman"/>
          <w:b w:val="0"/>
          <w:bCs w:val="0"/>
        </w:rPr>
        <w:t>（九）公共机构节能情况</w:t>
      </w:r>
    </w:p>
    <w:p w14:paraId="32168E5B">
      <w:pPr>
        <w:spacing w:line="560" w:lineRule="exact"/>
        <w:ind w:firstLine="640" w:firstLineChars="200"/>
        <w:rPr>
          <w:rFonts w:ascii="仿宋" w:hAnsi="仿宋" w:eastAsia="仿宋"/>
          <w:sz w:val="32"/>
          <w:szCs w:val="32"/>
        </w:rPr>
      </w:pPr>
      <w:r>
        <w:rPr>
          <w:rFonts w:hint="eastAsia" w:ascii="仿宋" w:hAnsi="仿宋" w:eastAsia="仿宋"/>
          <w:sz w:val="32"/>
          <w:szCs w:val="32"/>
        </w:rPr>
        <w:t>建设节约型机关，下发了《南京市节约型机关创建行动实施意见》，全市514家机关成功创建，比例达64%。开展节能示范单位创建，其中国家级4家、省级10家、市级29家。在全省率先开展能耗定额研究，制定《公共机构能（水）耗定额》南京市地方标准，涵盖党政机关、教育、卫生、场馆等4类能耗定额。建成全市公共机构能源资源管理综合平台，打造能源“一张网”。开展既有建筑节能改造80余项，面积约140万平方米。开展合同能源管理35项，引入社会资金4000余万元。开展能源审计项目149个，水平衡测试项目167个。</w:t>
      </w:r>
    </w:p>
    <w:p w14:paraId="23F6B842">
      <w:pPr>
        <w:pStyle w:val="3"/>
        <w:spacing w:before="0" w:after="0" w:line="560" w:lineRule="exact"/>
        <w:ind w:firstLine="640" w:firstLineChars="200"/>
        <w:rPr>
          <w:rFonts w:ascii="仿宋" w:hAnsi="仿宋" w:eastAsia="仿宋" w:cs="Times New Roman"/>
          <w:b w:val="0"/>
          <w:bCs w:val="0"/>
        </w:rPr>
      </w:pPr>
      <w:r>
        <w:rPr>
          <w:rFonts w:hint="eastAsia" w:ascii="仿宋" w:hAnsi="仿宋" w:eastAsia="仿宋" w:cs="Times New Roman"/>
          <w:b w:val="0"/>
          <w:bCs w:val="0"/>
        </w:rPr>
        <w:t>（十）信息化建设情况</w:t>
      </w:r>
    </w:p>
    <w:p w14:paraId="21DEC384">
      <w:pPr>
        <w:pStyle w:val="15"/>
        <w:spacing w:line="560" w:lineRule="exact"/>
        <w:ind w:firstLine="640"/>
        <w:outlineLvl w:val="1"/>
        <w:rPr>
          <w:rFonts w:ascii="仿宋" w:hAnsi="仿宋" w:eastAsia="仿宋"/>
          <w:sz w:val="32"/>
          <w:szCs w:val="32"/>
        </w:rPr>
      </w:pPr>
      <w:r>
        <w:rPr>
          <w:rFonts w:hint="eastAsia" w:ascii="仿宋" w:hAnsi="仿宋" w:eastAsia="仿宋"/>
          <w:sz w:val="32"/>
          <w:szCs w:val="32"/>
        </w:rPr>
        <w:t>规范政府网站和政务新媒体管理，</w:t>
      </w:r>
      <w:r>
        <w:rPr>
          <w:rFonts w:ascii="仿宋" w:hAnsi="仿宋" w:eastAsia="仿宋"/>
          <w:sz w:val="32"/>
          <w:szCs w:val="32"/>
        </w:rPr>
        <w:t>进一步优化</w:t>
      </w:r>
      <w:r>
        <w:rPr>
          <w:rFonts w:hint="eastAsia" w:ascii="仿宋" w:hAnsi="仿宋" w:eastAsia="仿宋"/>
          <w:sz w:val="32"/>
          <w:szCs w:val="32"/>
        </w:rPr>
        <w:t>完善</w:t>
      </w:r>
      <w:r>
        <w:rPr>
          <w:rFonts w:ascii="仿宋" w:hAnsi="仿宋" w:eastAsia="仿宋"/>
          <w:sz w:val="32"/>
          <w:szCs w:val="32"/>
        </w:rPr>
        <w:t>局网站栏目内容，做好局网站以及政务新媒体的信息发布、日常监测，组织开展</w:t>
      </w:r>
      <w:r>
        <w:rPr>
          <w:rFonts w:hint="eastAsia" w:ascii="仿宋" w:hAnsi="仿宋" w:eastAsia="仿宋"/>
          <w:sz w:val="32"/>
          <w:szCs w:val="32"/>
        </w:rPr>
        <w:t>好</w:t>
      </w:r>
      <w:r>
        <w:rPr>
          <w:rFonts w:ascii="仿宋" w:hAnsi="仿宋" w:eastAsia="仿宋"/>
          <w:sz w:val="32"/>
          <w:szCs w:val="32"/>
        </w:rPr>
        <w:t>政务公开和新媒体业务培训</w:t>
      </w:r>
      <w:r>
        <w:rPr>
          <w:rFonts w:hint="eastAsia" w:ascii="仿宋" w:hAnsi="仿宋" w:eastAsia="仿宋"/>
          <w:sz w:val="32"/>
          <w:szCs w:val="32"/>
        </w:rPr>
        <w:t>；</w:t>
      </w:r>
      <w:r>
        <w:rPr>
          <w:rFonts w:ascii="仿宋" w:hAnsi="仿宋" w:eastAsia="仿宋"/>
          <w:sz w:val="32"/>
          <w:szCs w:val="32"/>
        </w:rPr>
        <w:t>加强网络安全机制建设，组织开展网络安全培训和网络安全预案应急演练，落实重大会议和节日期间政府网站和网络安全24小时值班制度，协调及时处置信息系统漏洞和安全隐患</w:t>
      </w:r>
      <w:r>
        <w:rPr>
          <w:rFonts w:hint="eastAsia" w:ascii="仿宋" w:hAnsi="仿宋" w:eastAsia="仿宋"/>
          <w:sz w:val="32"/>
          <w:szCs w:val="32"/>
        </w:rPr>
        <w:t>。</w:t>
      </w:r>
    </w:p>
    <w:p w14:paraId="72E40060">
      <w:pPr>
        <w:pStyle w:val="3"/>
        <w:spacing w:before="0" w:after="0" w:line="560" w:lineRule="exact"/>
        <w:ind w:firstLine="640" w:firstLineChars="200"/>
        <w:rPr>
          <w:rFonts w:ascii="仿宋" w:hAnsi="仿宋" w:eastAsia="仿宋"/>
          <w:b w:val="0"/>
          <w:color w:val="C00000"/>
        </w:rPr>
      </w:pPr>
      <w:r>
        <w:rPr>
          <w:rFonts w:hint="eastAsia" w:ascii="仿宋" w:hAnsi="仿宋" w:eastAsia="仿宋" w:cs="Times New Roman"/>
          <w:b w:val="0"/>
          <w:bCs w:val="0"/>
        </w:rPr>
        <w:t>（十一）人力资源建设情况</w:t>
      </w:r>
    </w:p>
    <w:p w14:paraId="203F625D">
      <w:pPr>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修订完善了</w:t>
      </w:r>
      <w:r>
        <w:rPr>
          <w:rFonts w:ascii="仿宋" w:hAnsi="仿宋" w:eastAsia="仿宋"/>
          <w:bCs/>
          <w:sz w:val="32"/>
          <w:szCs w:val="32"/>
        </w:rPr>
        <w:t>《干部挂职的若干规定》《局机关工作人员岗位调整交接工作的暂行规定》等6项制度，制定了《合同制人员队伍建设指导意见》，从岗位管理、鼓励激励、考核评价等六个方面，打通人员晋升通道、规范人员福利待遇、强化人才培</w:t>
      </w:r>
    </w:p>
    <w:p w14:paraId="77BB85FA">
      <w:pPr>
        <w:snapToGrid w:val="0"/>
        <w:spacing w:line="560" w:lineRule="exact"/>
        <w:rPr>
          <w:rFonts w:eastAsia="仿宋_GB2312"/>
          <w:sz w:val="30"/>
          <w:szCs w:val="30"/>
        </w:rPr>
      </w:pPr>
      <w:r>
        <w:rPr>
          <w:rFonts w:ascii="仿宋" w:hAnsi="仿宋" w:eastAsia="仿宋"/>
          <w:bCs/>
          <w:sz w:val="32"/>
          <w:szCs w:val="32"/>
        </w:rPr>
        <w:t>养</w:t>
      </w:r>
      <w:r>
        <w:rPr>
          <w:rFonts w:hint="eastAsia" w:ascii="仿宋" w:hAnsi="仿宋" w:eastAsia="仿宋"/>
          <w:bCs/>
          <w:sz w:val="32"/>
          <w:szCs w:val="32"/>
        </w:rPr>
        <w:t>；2020年</w:t>
      </w:r>
      <w:r>
        <w:rPr>
          <w:rFonts w:ascii="仿宋" w:hAnsi="仿宋" w:eastAsia="仿宋"/>
          <w:bCs/>
          <w:sz w:val="32"/>
          <w:szCs w:val="32"/>
        </w:rPr>
        <w:t>启动</w:t>
      </w:r>
      <w:r>
        <w:rPr>
          <w:rFonts w:hint="eastAsia" w:ascii="仿宋" w:hAnsi="仿宋" w:eastAsia="仿宋"/>
          <w:bCs/>
          <w:sz w:val="32"/>
          <w:szCs w:val="32"/>
        </w:rPr>
        <w:t>完成了2名一级调研员选拔任用和9名科级干部职级晋升工作，完成了事业单位1名管理五级、2名管理六级干部选拔聘用工作，</w:t>
      </w:r>
      <w:r>
        <w:rPr>
          <w:rFonts w:ascii="仿宋" w:hAnsi="仿宋" w:eastAsia="仿宋"/>
          <w:bCs/>
          <w:sz w:val="32"/>
          <w:szCs w:val="32"/>
        </w:rPr>
        <w:t>干部队伍结构得到优化</w:t>
      </w:r>
      <w:r>
        <w:rPr>
          <w:rFonts w:hint="eastAsia" w:ascii="仿宋" w:hAnsi="仿宋" w:eastAsia="仿宋"/>
          <w:bCs/>
          <w:sz w:val="32"/>
          <w:szCs w:val="32"/>
        </w:rPr>
        <w:t>，</w:t>
      </w:r>
      <w:r>
        <w:rPr>
          <w:rFonts w:ascii="仿宋" w:hAnsi="仿宋" w:eastAsia="仿宋"/>
          <w:bCs/>
          <w:sz w:val="32"/>
          <w:szCs w:val="32"/>
        </w:rPr>
        <w:t>年度引进人才27人</w:t>
      </w:r>
      <w:r>
        <w:rPr>
          <w:rFonts w:hint="eastAsia" w:ascii="仿宋" w:hAnsi="仿宋" w:eastAsia="仿宋"/>
          <w:bCs/>
          <w:sz w:val="32"/>
          <w:szCs w:val="32"/>
        </w:rPr>
        <w:t>。</w:t>
      </w:r>
    </w:p>
    <w:p w14:paraId="1B107A52">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四、存在问题及原因分析</w:t>
      </w:r>
    </w:p>
    <w:p w14:paraId="46CD8417">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个别基建项目预算执行率较低，例如北京东路41号院调整办公用房维修改造项目，2020年度预算470万元，但由于客观原因，导致该项目未能按原定工作计划推进，经财政批准该项目年度剩余经费336万元结转为下年使用。</w:t>
      </w:r>
    </w:p>
    <w:p w14:paraId="5211FE0A">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五、有关建议</w:t>
      </w:r>
    </w:p>
    <w:p w14:paraId="2E4493E1">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加强项目预算资金编制、拨付管理，明确各阶段审批、支付时间节点，加快资金流转，提高资金使用效率，保障基建工程稳步有序向前推进。</w:t>
      </w:r>
    </w:p>
    <w:p w14:paraId="52C2E334">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六、评价工作开展情况及其他需说明的情况</w:t>
      </w:r>
    </w:p>
    <w:p w14:paraId="26A1CA9A">
      <w:pPr>
        <w:pStyle w:val="3"/>
        <w:spacing w:before="0" w:after="0" w:line="560" w:lineRule="exact"/>
        <w:ind w:firstLine="640" w:firstLineChars="200"/>
        <w:rPr>
          <w:rFonts w:ascii="仿宋" w:hAnsi="仿宋" w:eastAsia="仿宋"/>
          <w:b w:val="0"/>
        </w:rPr>
      </w:pPr>
      <w:r>
        <w:rPr>
          <w:rFonts w:hint="eastAsia" w:ascii="仿宋" w:hAnsi="仿宋" w:eastAsia="仿宋"/>
          <w:b w:val="0"/>
        </w:rPr>
        <w:t>（一）基本情况</w:t>
      </w:r>
    </w:p>
    <w:p w14:paraId="6802BA7C">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1.评价目的</w:t>
      </w:r>
    </w:p>
    <w:p w14:paraId="6A4DDB29">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开展部门整体绩效评价是全面贯彻落实《中共江苏省委 江苏省人民政府关于全面实施预算绩效管理的实施意见》的重要举措。根据市委市政府《南京市全面实施预算绩效管理三年（2019-2021年）行动计划》以及《关于开展2021年度预算绩效信息公开工作的通知》（宁财绩〔2021〕32号）要求，开展部门整体绩效评价的目的是“促进部门从整体提升预算绩效管理工作水平及使用效益，保障部门更好地履行职责”，具体包括：</w:t>
      </w:r>
    </w:p>
    <w:p w14:paraId="16F700E4">
      <w:pPr>
        <w:widowControl w:val="0"/>
        <w:overflowPunct/>
        <w:spacing w:line="560" w:lineRule="exact"/>
        <w:ind w:firstLine="640" w:firstLineChars="200"/>
        <w:textAlignment w:val="auto"/>
        <w:rPr>
          <w:rFonts w:ascii="仿宋" w:hAnsi="仿宋" w:eastAsia="仿宋" w:cs="KTJ+ZIKGhw-3"/>
          <w:sz w:val="32"/>
          <w:szCs w:val="32"/>
        </w:rPr>
      </w:pPr>
      <w:r>
        <w:rPr>
          <w:rFonts w:hint="eastAsia" w:ascii="仿宋" w:hAnsi="仿宋" w:eastAsia="仿宋"/>
          <w:sz w:val="32"/>
          <w:szCs w:val="32"/>
        </w:rPr>
        <w:t>（1）通过对部门整体绩效评价，可以</w:t>
      </w:r>
      <w:r>
        <w:rPr>
          <w:rFonts w:hint="eastAsia" w:ascii="仿宋" w:hAnsi="仿宋" w:eastAsia="仿宋" w:cs="AdobeHeitiStd-Regular"/>
          <w:sz w:val="32"/>
          <w:szCs w:val="32"/>
        </w:rPr>
        <w:t>发现部门管理的薄弱环节，促进其改进和创新管理方式，提高管理效能和管理质量</w:t>
      </w:r>
      <w:r>
        <w:rPr>
          <w:rFonts w:hint="eastAsia" w:ascii="仿宋" w:hAnsi="仿宋" w:eastAsia="仿宋" w:cs="KTJ+ZIKGhw-3"/>
          <w:sz w:val="32"/>
          <w:szCs w:val="32"/>
        </w:rPr>
        <w:t>。</w:t>
      </w:r>
    </w:p>
    <w:p w14:paraId="332F053B">
      <w:pPr>
        <w:widowControl w:val="0"/>
        <w:overflowPunct/>
        <w:spacing w:line="560" w:lineRule="exact"/>
        <w:textAlignment w:val="auto"/>
        <w:rPr>
          <w:rFonts w:ascii="仿宋" w:hAnsi="仿宋" w:eastAsia="仿宋"/>
          <w:sz w:val="32"/>
          <w:szCs w:val="32"/>
        </w:rPr>
      </w:pPr>
      <w:r>
        <w:rPr>
          <w:rFonts w:hint="eastAsia" w:ascii="仿宋" w:hAnsi="仿宋" w:eastAsia="仿宋" w:cs="KTJ+ZIKGhw-3"/>
          <w:sz w:val="32"/>
          <w:szCs w:val="32"/>
        </w:rPr>
        <w:t xml:space="preserve">                                                     </w:t>
      </w:r>
      <w:r>
        <w:rPr>
          <w:rFonts w:hint="eastAsia" w:ascii="仿宋" w:hAnsi="仿宋" w:eastAsia="仿宋"/>
          <w:sz w:val="32"/>
          <w:szCs w:val="32"/>
        </w:rPr>
        <w:t>同时，</w:t>
      </w:r>
      <w:r>
        <w:rPr>
          <w:rFonts w:hint="eastAsia" w:ascii="仿宋" w:hAnsi="仿宋" w:eastAsia="仿宋" w:cs="AdobeHeitiStd-Regular"/>
          <w:sz w:val="32"/>
          <w:szCs w:val="32"/>
        </w:rPr>
        <w:t>发现部门在提供公共服务方面存在的短板和不足，</w:t>
      </w:r>
      <w:r>
        <w:rPr>
          <w:rFonts w:hint="eastAsia" w:ascii="仿宋" w:hAnsi="仿宋" w:eastAsia="仿宋"/>
          <w:sz w:val="32"/>
          <w:szCs w:val="32"/>
        </w:rPr>
        <w:t>为有效提高财政资金配置水平和提升政府公共服务质量做出积极探索。</w:t>
      </w:r>
    </w:p>
    <w:p w14:paraId="26455158">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部门整体绩效评价更加关注部门财政资金的预算安排的合理性和整体效益，例如，资金结构与部门职能的匹配程度、预算规模对部门绩效目标实现的保障水平、资金的支出与部门所提供的公共服务的支持程度等。因此，部门整体绩效评价的覆盖面更广、层次更深，更能综合反映部门财政资金的综合效益。</w:t>
      </w:r>
    </w:p>
    <w:p w14:paraId="7F2E0E95">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2.评价对象及范围</w:t>
      </w:r>
    </w:p>
    <w:p w14:paraId="578EDC06">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2020年度部门预算和部门所管理的专项资金。</w:t>
      </w:r>
    </w:p>
    <w:p w14:paraId="7FA5ACA5">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3.评价原则</w:t>
      </w:r>
    </w:p>
    <w:p w14:paraId="5A2BC9E7">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（1）科学规范原则。注重财政支出的经济性、效率性和有效性，采用定量与定性相结合的方法。</w:t>
      </w:r>
    </w:p>
    <w:p w14:paraId="58423873">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（2）公开公正原则。客观、公正，标准统一、数据资料真实可靠，公开并接受监督。</w:t>
      </w:r>
    </w:p>
    <w:p w14:paraId="19D3AD82">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（3）问题导向原则。发现问题、分析问题和解决问题,程序与结果并重。</w:t>
      </w:r>
    </w:p>
    <w:p w14:paraId="79E69540">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（4）统一管理原则。自觉接受财政部门统一组织管理。</w:t>
      </w:r>
    </w:p>
    <w:p w14:paraId="30C75901">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（5）绩效相关原则。针对具体投入及其产出绩效进行，评价结果清晰反映投入和绩效之间的对应关系。</w:t>
      </w:r>
    </w:p>
    <w:p w14:paraId="6D9AE3DE">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4.评价方法</w:t>
      </w:r>
    </w:p>
    <w:p w14:paraId="2B6461D1">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综合运用成本效益分析法、因素分析法等方法，具体通过资料梳理、调研访谈、制定评价指标和标准、数据采集、等方                   </w:t>
      </w:r>
    </w:p>
    <w:p w14:paraId="34AB491B">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w:t>
      </w:r>
    </w:p>
    <w:p w14:paraId="11773057">
      <w:pPr>
        <w:widowControl w:val="0"/>
        <w:overflowPunct/>
        <w:spacing w:line="560" w:lineRule="exact"/>
        <w:textAlignment w:val="auto"/>
        <w:rPr>
          <w:rFonts w:ascii="仿宋" w:hAnsi="仿宋" w:eastAsia="仿宋"/>
          <w:sz w:val="32"/>
          <w:szCs w:val="32"/>
        </w:rPr>
      </w:pPr>
      <w:r>
        <w:rPr>
          <w:rFonts w:hint="eastAsia" w:ascii="仿宋" w:hAnsi="仿宋" w:eastAsia="仿宋"/>
          <w:sz w:val="32"/>
          <w:szCs w:val="32"/>
        </w:rPr>
        <w:t>式进行部门整体支出绩效综合评价。评价指标采取定量与定性相结合、优先定量的原则。</w:t>
      </w:r>
    </w:p>
    <w:p w14:paraId="03C3B390">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5.评价指标体系</w:t>
      </w:r>
    </w:p>
    <w:p w14:paraId="328B88FD">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评价以南京市财政局《关于开展2021年度预算绩效信息公开工作的通知》（宁财绩〔2021〕32号）要求等文件为指引，结合管理局特点，从“部门决策、部门管理、部门履职、履职绩效、可持续发展能力”五个维度设计指标，其中“部门决策”、“部门管理”两类指标参照了南京市财政局规定的共性指标。“部门履职”、“履职绩效”“可持续发展能力”三类指标充分考虑了管理局职能特点和年度重点工作任务等内容。</w:t>
      </w:r>
    </w:p>
    <w:p w14:paraId="2448EABF">
      <w:pPr>
        <w:widowControl w:val="0"/>
        <w:overflowPunct/>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评价通过设计评价指标、制定评价标准以及评分规则等，形成了一套较为完整的绩效评价指标体系。指标设计遵循了</w:t>
      </w:r>
      <w:r>
        <w:rPr>
          <w:rFonts w:hint="eastAsia" w:ascii="仿宋" w:hAnsi="仿宋" w:eastAsia="仿宋" w:cs="AdobeHeitiStd-Regular"/>
          <w:sz w:val="32"/>
          <w:szCs w:val="32"/>
        </w:rPr>
        <w:t>相关性、可比性、重要性的原则，以财政资金管理使用为主线，沿着资金的使用前、使用中、使用后的逻辑路径，力求</w:t>
      </w:r>
      <w:r>
        <w:rPr>
          <w:rFonts w:hint="eastAsia" w:ascii="仿宋" w:hAnsi="仿宋" w:eastAsia="仿宋"/>
          <w:sz w:val="32"/>
          <w:szCs w:val="32"/>
        </w:rPr>
        <w:t>涵盖部门的目标任务、预算配置、预算执行、预算管理、资产管理、职责履行和履职效益等内容。</w:t>
      </w:r>
    </w:p>
    <w:p w14:paraId="58AC048E">
      <w:pPr>
        <w:pStyle w:val="3"/>
        <w:spacing w:before="0" w:after="0" w:line="560" w:lineRule="exact"/>
        <w:ind w:firstLine="640" w:firstLineChars="200"/>
        <w:rPr>
          <w:rFonts w:ascii="仿宋" w:hAnsi="仿宋" w:eastAsia="仿宋"/>
          <w:b w:val="0"/>
        </w:rPr>
      </w:pPr>
      <w:r>
        <w:rPr>
          <w:rFonts w:hint="eastAsia" w:ascii="仿宋" w:hAnsi="仿宋" w:eastAsia="仿宋"/>
          <w:b w:val="0"/>
        </w:rPr>
        <w:t>（二）评价组织实施</w:t>
      </w:r>
    </w:p>
    <w:p w14:paraId="0E3D35A0">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1.前期准备情况</w:t>
      </w:r>
    </w:p>
    <w:p w14:paraId="7AB731F9">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sz w:val="32"/>
          <w:szCs w:val="32"/>
        </w:rPr>
        <w:t>局分管领导、局财务处（资产管理处）、办公室（机关事务信息处）、人事教育处（审计处）等处室相关人员，在去年开展自评价要求的基础上，</w:t>
      </w:r>
      <w:r>
        <w:rPr>
          <w:rFonts w:hint="eastAsia" w:ascii="仿宋" w:hAnsi="仿宋" w:eastAsia="仿宋" w:cs="仿宋_GB2312"/>
          <w:sz w:val="32"/>
          <w:szCs w:val="32"/>
        </w:rPr>
        <w:t>通过现场调研，调查了解政策背景、资金规模、实施内容、范围及期限、绩效目标以及项目的组织实施管理等情况，初步确定评价总体工作思路，并形成绩效评价工作方案初稿。</w:t>
      </w:r>
    </w:p>
    <w:p w14:paraId="1435A205">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p>
    <w:p w14:paraId="793D1FE2">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2.现场核查情况</w:t>
      </w:r>
    </w:p>
    <w:p w14:paraId="633E7D7C">
      <w:pPr>
        <w:widowControl w:val="0"/>
        <w:spacing w:line="560" w:lineRule="exact"/>
        <w:rPr>
          <w:rFonts w:ascii="仿宋" w:hAnsi="仿宋" w:eastAsia="仿宋" w:cs="仿宋_GB2312"/>
          <w:sz w:val="32"/>
          <w:szCs w:val="32"/>
        </w:rPr>
      </w:pPr>
      <w:r>
        <w:rPr>
          <w:rFonts w:hint="eastAsia" w:ascii="仿宋" w:hAnsi="仿宋" w:eastAsia="仿宋"/>
          <w:sz w:val="32"/>
          <w:szCs w:val="32"/>
        </w:rPr>
        <w:t xml:space="preserve">   （1）</w:t>
      </w:r>
      <w:r>
        <w:rPr>
          <w:rFonts w:hint="eastAsia" w:ascii="仿宋" w:hAnsi="仿宋" w:eastAsia="仿宋" w:cs="仿宋_GB2312"/>
          <w:sz w:val="32"/>
          <w:szCs w:val="32"/>
        </w:rPr>
        <w:t>现场查阅、复核。对管理局整体绩效相关资料进查阅并核实，对所掌握的资料进行分析。</w:t>
      </w:r>
    </w:p>
    <w:p w14:paraId="0D856F2F">
      <w:pPr>
        <w:widowControl w:val="0"/>
        <w:spacing w:line="560" w:lineRule="exact"/>
        <w:rPr>
          <w:rFonts w:ascii="仿宋" w:hAnsi="仿宋" w:eastAsia="仿宋" w:cs="仿宋_GB2312"/>
          <w:sz w:val="32"/>
          <w:szCs w:val="32"/>
        </w:rPr>
      </w:pPr>
      <w:r>
        <w:rPr>
          <w:rFonts w:hint="eastAsia" w:ascii="仿宋" w:hAnsi="仿宋" w:eastAsia="仿宋" w:cs="仿宋_GB2312"/>
          <w:sz w:val="32"/>
          <w:szCs w:val="32"/>
        </w:rPr>
        <w:t xml:space="preserve">   （2）访谈和调查。对各处室负责人等进行访谈，探讨</w:t>
      </w:r>
      <w:r>
        <w:rPr>
          <w:rFonts w:hint="eastAsia" w:ascii="仿宋" w:hAnsi="仿宋" w:eastAsia="仿宋"/>
          <w:sz w:val="32"/>
          <w:szCs w:val="32"/>
        </w:rPr>
        <w:t>部门决策、部门管理、部门履职、履职绩效、可持续发展能力</w:t>
      </w:r>
      <w:r>
        <w:rPr>
          <w:rFonts w:hint="eastAsia" w:ascii="仿宋" w:hAnsi="仿宋" w:eastAsia="仿宋" w:cs="仿宋_GB2312"/>
          <w:sz w:val="32"/>
          <w:szCs w:val="32"/>
        </w:rPr>
        <w:t>等方面的亮点和不足。</w:t>
      </w:r>
    </w:p>
    <w:p w14:paraId="198EBE2A">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3.资料信息汇总及评价分析</w:t>
      </w:r>
    </w:p>
    <w:p w14:paraId="36190000">
      <w:pPr>
        <w:widowControl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汇总分析评价数据，依据制订的评价标准和打分规则，对管理局整体绩效进行分析以及量化打分。</w:t>
      </w:r>
    </w:p>
    <w:p w14:paraId="29F9B508">
      <w:pPr>
        <w:widowControl w:val="0"/>
        <w:spacing w:line="560" w:lineRule="exact"/>
        <w:ind w:firstLine="640" w:firstLineChars="200"/>
        <w:rPr>
          <w:rFonts w:ascii="仿宋" w:hAnsi="仿宋" w:eastAsia="仿宋"/>
          <w:sz w:val="32"/>
          <w:szCs w:val="32"/>
        </w:rPr>
      </w:pPr>
      <w:r>
        <w:rPr>
          <w:rFonts w:hint="eastAsia" w:ascii="仿宋" w:hAnsi="仿宋" w:eastAsia="仿宋"/>
          <w:sz w:val="32"/>
          <w:szCs w:val="32"/>
        </w:rPr>
        <w:t>4.出具报告</w:t>
      </w:r>
    </w:p>
    <w:p w14:paraId="59D6592C">
      <w:pPr>
        <w:widowControl w:val="0"/>
        <w:overflowPunct/>
        <w:autoSpaceDE/>
        <w:autoSpaceDN/>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sz w:val="32"/>
          <w:szCs w:val="32"/>
        </w:rPr>
        <w:t>资料信息汇总及评价分析结果，出具</w:t>
      </w:r>
      <w:r>
        <w:rPr>
          <w:rFonts w:ascii="仿宋" w:hAnsi="仿宋" w:eastAsia="仿宋" w:cs="仿宋_GB2312"/>
          <w:sz w:val="32"/>
          <w:szCs w:val="32"/>
        </w:rPr>
        <w:t>正式绩效评价报告。</w:t>
      </w:r>
    </w:p>
    <w:p w14:paraId="03D2D13A">
      <w:pPr>
        <w:widowControl w:val="0"/>
        <w:spacing w:line="560" w:lineRule="exact"/>
        <w:ind w:firstLine="640" w:firstLineChars="200"/>
        <w:rPr>
          <w:rFonts w:ascii="仿宋" w:hAnsi="仿宋" w:eastAsia="仿宋"/>
          <w:sz w:val="32"/>
          <w:szCs w:val="32"/>
        </w:rPr>
      </w:pPr>
    </w:p>
    <w:p w14:paraId="129EC0A8">
      <w:pPr>
        <w:widowControl w:val="0"/>
        <w:spacing w:line="560" w:lineRule="exact"/>
        <w:ind w:firstLine="640" w:firstLineChars="200"/>
        <w:rPr>
          <w:rFonts w:ascii="仿宋" w:hAnsi="仿宋" w:eastAsia="仿宋"/>
          <w:sz w:val="32"/>
          <w:szCs w:val="32"/>
        </w:rPr>
      </w:pPr>
    </w:p>
    <w:p w14:paraId="052D6807">
      <w:pPr>
        <w:widowControl w:val="0"/>
        <w:spacing w:line="560" w:lineRule="exact"/>
        <w:ind w:firstLine="640" w:firstLineChars="200"/>
        <w:rPr>
          <w:rFonts w:ascii="仿宋" w:hAnsi="仿宋" w:eastAsia="仿宋"/>
          <w:sz w:val="32"/>
          <w:szCs w:val="32"/>
        </w:rPr>
      </w:pPr>
    </w:p>
    <w:p w14:paraId="3F18D344">
      <w:pPr>
        <w:widowControl w:val="0"/>
        <w:overflowPunct/>
        <w:autoSpaceDE/>
        <w:autoSpaceDN/>
        <w:snapToGrid w:val="0"/>
        <w:spacing w:line="560" w:lineRule="exact"/>
        <w:textAlignment w:val="auto"/>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_GB2312"/>
          <w:sz w:val="32"/>
          <w:szCs w:val="32"/>
        </w:rPr>
        <w:t>附件</w:t>
      </w:r>
      <w:r>
        <w:rPr>
          <w:rFonts w:hint="eastAsia" w:ascii="仿宋" w:hAnsi="仿宋" w:eastAsia="仿宋" w:cs="仿宋_GB2312"/>
          <w:sz w:val="32"/>
          <w:szCs w:val="32"/>
        </w:rPr>
        <w:t>：《</w:t>
      </w:r>
      <w:r>
        <w:rPr>
          <w:rFonts w:hint="eastAsia" w:ascii="仿宋" w:hAnsi="仿宋" w:eastAsia="仿宋"/>
          <w:sz w:val="32"/>
          <w:szCs w:val="32"/>
        </w:rPr>
        <w:t>南京市机关事务管理局2020年度部门整体绩效综合评价表</w:t>
      </w:r>
      <w:r>
        <w:rPr>
          <w:rFonts w:hint="eastAsia" w:ascii="仿宋" w:hAnsi="仿宋" w:eastAsia="仿宋" w:cs="仿宋_GB2312"/>
          <w:sz w:val="32"/>
          <w:szCs w:val="32"/>
        </w:rPr>
        <w:t>》</w:t>
      </w:r>
    </w:p>
    <w:p w14:paraId="1742A7EB">
      <w:pPr>
        <w:overflowPunct/>
        <w:autoSpaceDE/>
        <w:autoSpaceDN/>
        <w:adjustRightInd/>
        <w:jc w:val="left"/>
        <w:textAlignment w:val="auto"/>
        <w:rPr>
          <w:rFonts w:ascii="仿宋" w:hAnsi="仿宋" w:eastAsia="仿宋" w:cs="仿宋_GB2312"/>
          <w:sz w:val="32"/>
          <w:szCs w:val="32"/>
        </w:rPr>
      </w:pPr>
      <w:r>
        <w:rPr>
          <w:rFonts w:ascii="仿宋" w:hAnsi="仿宋" w:eastAsia="仿宋" w:cs="仿宋_GB2312"/>
          <w:sz w:val="32"/>
          <w:szCs w:val="32"/>
        </w:rPr>
        <w:br w:type="page"/>
      </w:r>
    </w:p>
    <w:p w14:paraId="7BF5A605">
      <w:pPr>
        <w:overflowPunct/>
        <w:autoSpaceDE/>
        <w:autoSpaceDN/>
        <w:adjustRightInd/>
        <w:jc w:val="left"/>
        <w:textAlignment w:val="auto"/>
        <w:rPr>
          <w:rFonts w:ascii="仿宋" w:hAnsi="仿宋" w:eastAsia="仿宋" w:cs="仿宋_GB2312"/>
          <w:sz w:val="32"/>
          <w:szCs w:val="32"/>
        </w:rPr>
      </w:pPr>
      <w:r>
        <w:rPr>
          <w:szCs w:val="32"/>
        </w:rPr>
        <w:drawing>
          <wp:inline distT="0" distB="0" distL="0" distR="0">
            <wp:extent cx="5539105" cy="8822690"/>
            <wp:effectExtent l="19050" t="0" r="396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5543550" cy="8829039"/>
                    </a:xfrm>
                    <a:prstGeom prst="rect">
                      <a:avLst/>
                    </a:prstGeom>
                    <a:noFill/>
                    <a:ln w="9525">
                      <a:noFill/>
                      <a:miter lim="800000"/>
                      <a:headEnd/>
                      <a:tailEnd/>
                    </a:ln>
                  </pic:spPr>
                </pic:pic>
              </a:graphicData>
            </a:graphic>
          </wp:inline>
        </w:drawing>
      </w:r>
      <w:r>
        <w:rPr>
          <w:rFonts w:ascii="仿宋" w:hAnsi="仿宋" w:eastAsia="仿宋" w:cs="仿宋_GB2312"/>
          <w:sz w:val="32"/>
          <w:szCs w:val="32"/>
        </w:rPr>
        <w:br w:type="page"/>
      </w:r>
      <w:r>
        <w:rPr>
          <w:rFonts w:ascii="仿宋" w:hAnsi="仿宋" w:eastAsia="仿宋" w:cs="仿宋_GB2312"/>
          <w:sz w:val="32"/>
          <w:szCs w:val="32"/>
        </w:rPr>
        <w:drawing>
          <wp:inline distT="0" distB="0" distL="0" distR="0">
            <wp:extent cx="5539105" cy="7222490"/>
            <wp:effectExtent l="19050" t="0" r="396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6" cstate="print"/>
                    <a:srcRect/>
                    <a:stretch>
                      <a:fillRect/>
                    </a:stretch>
                  </pic:blipFill>
                  <pic:spPr>
                    <a:xfrm>
                      <a:off x="0" y="0"/>
                      <a:ext cx="5543550" cy="7227694"/>
                    </a:xfrm>
                    <a:prstGeom prst="rect">
                      <a:avLst/>
                    </a:prstGeom>
                    <a:noFill/>
                    <a:ln w="9525">
                      <a:noFill/>
                      <a:miter lim="800000"/>
                      <a:headEnd/>
                      <a:tailEnd/>
                    </a:ln>
                  </pic:spPr>
                </pic:pic>
              </a:graphicData>
            </a:graphic>
          </wp:inline>
        </w:drawing>
      </w:r>
    </w:p>
    <w:p w14:paraId="0E98EA57">
      <w:pPr>
        <w:overflowPunct/>
        <w:autoSpaceDE/>
        <w:autoSpaceDN/>
        <w:adjustRightInd/>
        <w:jc w:val="left"/>
        <w:textAlignment w:val="auto"/>
        <w:rPr>
          <w:rFonts w:ascii="仿宋" w:hAnsi="仿宋" w:eastAsia="仿宋" w:cs="仿宋_GB2312"/>
          <w:sz w:val="32"/>
          <w:szCs w:val="32"/>
        </w:rPr>
      </w:pPr>
    </w:p>
    <w:p w14:paraId="745689AA">
      <w:pPr>
        <w:widowControl w:val="0"/>
        <w:overflowPunct/>
        <w:autoSpaceDE/>
        <w:autoSpaceDN/>
        <w:snapToGrid w:val="0"/>
        <w:spacing w:line="560" w:lineRule="exact"/>
        <w:textAlignment w:val="auto"/>
        <w:rPr>
          <w:rFonts w:ascii="仿宋" w:hAnsi="仿宋" w:eastAsia="仿宋" w:cs="仿宋_GB2312"/>
          <w:sz w:val="32"/>
          <w:szCs w:val="32"/>
        </w:rPr>
      </w:pPr>
    </w:p>
    <w:sectPr>
      <w:footerReference r:id="rId3" w:type="default"/>
      <w:pgSz w:w="11906" w:h="16838"/>
      <w:pgMar w:top="1418" w:right="158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TJ+ZIKGhw-3">
    <w:altName w:val="宋体"/>
    <w:panose1 w:val="00000000000000000000"/>
    <w:charset w:val="86"/>
    <w:family w:val="auto"/>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805026"/>
      <w:docPartObj>
        <w:docPartGallery w:val="autotext"/>
      </w:docPartObj>
    </w:sdtPr>
    <w:sdtContent>
      <w:p w14:paraId="3A67AB1C">
        <w:pPr>
          <w:pStyle w:val="5"/>
          <w:jc w:val="center"/>
        </w:pPr>
        <w:r>
          <w:fldChar w:fldCharType="begin"/>
        </w:r>
        <w:r>
          <w:instrText xml:space="preserve">PAGE   \* MERGEFORMAT</w:instrText>
        </w:r>
        <w:r>
          <w:fldChar w:fldCharType="separate"/>
        </w:r>
        <w:r>
          <w:rPr>
            <w:lang w:val="zh-CN"/>
          </w:rPr>
          <w:t>15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YWIzOGQ4ODBkMzgwNDE5MDZiOTNjNmEyNDczMDQifQ=="/>
  </w:docVars>
  <w:rsids>
    <w:rsidRoot w:val="2A140BDB"/>
    <w:rsid w:val="0002080B"/>
    <w:rsid w:val="00023D23"/>
    <w:rsid w:val="00033D05"/>
    <w:rsid w:val="00035489"/>
    <w:rsid w:val="000500A1"/>
    <w:rsid w:val="00056784"/>
    <w:rsid w:val="00060FAA"/>
    <w:rsid w:val="000A7294"/>
    <w:rsid w:val="000B6A68"/>
    <w:rsid w:val="000C0AE3"/>
    <w:rsid w:val="000C33BD"/>
    <w:rsid w:val="000E78D2"/>
    <w:rsid w:val="000F3BB6"/>
    <w:rsid w:val="001231CC"/>
    <w:rsid w:val="0012557B"/>
    <w:rsid w:val="0013075B"/>
    <w:rsid w:val="00137DE9"/>
    <w:rsid w:val="00147135"/>
    <w:rsid w:val="00153A91"/>
    <w:rsid w:val="00156F6B"/>
    <w:rsid w:val="00171F49"/>
    <w:rsid w:val="001B3E13"/>
    <w:rsid w:val="001B51E1"/>
    <w:rsid w:val="001C6B07"/>
    <w:rsid w:val="001D0FC6"/>
    <w:rsid w:val="001D438D"/>
    <w:rsid w:val="001E0F70"/>
    <w:rsid w:val="002269A5"/>
    <w:rsid w:val="00227F28"/>
    <w:rsid w:val="0023786F"/>
    <w:rsid w:val="00240931"/>
    <w:rsid w:val="00264411"/>
    <w:rsid w:val="00287DCE"/>
    <w:rsid w:val="002A3B8E"/>
    <w:rsid w:val="002B78CC"/>
    <w:rsid w:val="002D2147"/>
    <w:rsid w:val="002D2BC0"/>
    <w:rsid w:val="002F191D"/>
    <w:rsid w:val="00315B30"/>
    <w:rsid w:val="00315F94"/>
    <w:rsid w:val="0032154E"/>
    <w:rsid w:val="00326AA7"/>
    <w:rsid w:val="00370905"/>
    <w:rsid w:val="003857A8"/>
    <w:rsid w:val="003A6C40"/>
    <w:rsid w:val="003C546B"/>
    <w:rsid w:val="003D58F0"/>
    <w:rsid w:val="003E0CCA"/>
    <w:rsid w:val="003E27E7"/>
    <w:rsid w:val="003F2E2D"/>
    <w:rsid w:val="003F4E67"/>
    <w:rsid w:val="003F5028"/>
    <w:rsid w:val="003F5817"/>
    <w:rsid w:val="0040743B"/>
    <w:rsid w:val="00411964"/>
    <w:rsid w:val="0042187D"/>
    <w:rsid w:val="004238D7"/>
    <w:rsid w:val="0044206E"/>
    <w:rsid w:val="004452B2"/>
    <w:rsid w:val="004463DD"/>
    <w:rsid w:val="004541C8"/>
    <w:rsid w:val="00495226"/>
    <w:rsid w:val="004D3024"/>
    <w:rsid w:val="004D3934"/>
    <w:rsid w:val="004D7F83"/>
    <w:rsid w:val="004E2416"/>
    <w:rsid w:val="004E4DB9"/>
    <w:rsid w:val="004E596F"/>
    <w:rsid w:val="005245FA"/>
    <w:rsid w:val="0052702B"/>
    <w:rsid w:val="00534837"/>
    <w:rsid w:val="00546CA2"/>
    <w:rsid w:val="00552A38"/>
    <w:rsid w:val="00572C76"/>
    <w:rsid w:val="005B417C"/>
    <w:rsid w:val="005E6544"/>
    <w:rsid w:val="005F3626"/>
    <w:rsid w:val="00607541"/>
    <w:rsid w:val="00654573"/>
    <w:rsid w:val="00655515"/>
    <w:rsid w:val="00684DF0"/>
    <w:rsid w:val="006A5D19"/>
    <w:rsid w:val="006B120F"/>
    <w:rsid w:val="006B794B"/>
    <w:rsid w:val="006D3501"/>
    <w:rsid w:val="007047F5"/>
    <w:rsid w:val="00713425"/>
    <w:rsid w:val="00716D06"/>
    <w:rsid w:val="00720E6C"/>
    <w:rsid w:val="00744F44"/>
    <w:rsid w:val="0077428C"/>
    <w:rsid w:val="0078151B"/>
    <w:rsid w:val="00785B96"/>
    <w:rsid w:val="007878D2"/>
    <w:rsid w:val="007929A6"/>
    <w:rsid w:val="00797CA5"/>
    <w:rsid w:val="007B1026"/>
    <w:rsid w:val="007B5DD2"/>
    <w:rsid w:val="007C2B8F"/>
    <w:rsid w:val="007C5A7A"/>
    <w:rsid w:val="007C7973"/>
    <w:rsid w:val="007F2E33"/>
    <w:rsid w:val="007F79D8"/>
    <w:rsid w:val="00806EFA"/>
    <w:rsid w:val="00807611"/>
    <w:rsid w:val="008A1245"/>
    <w:rsid w:val="008A776B"/>
    <w:rsid w:val="008B2739"/>
    <w:rsid w:val="008E5901"/>
    <w:rsid w:val="00907329"/>
    <w:rsid w:val="0092564A"/>
    <w:rsid w:val="00932C1D"/>
    <w:rsid w:val="009564B9"/>
    <w:rsid w:val="00961F24"/>
    <w:rsid w:val="00962BDC"/>
    <w:rsid w:val="0098172D"/>
    <w:rsid w:val="0098331D"/>
    <w:rsid w:val="00987EB3"/>
    <w:rsid w:val="009C137A"/>
    <w:rsid w:val="00A206CD"/>
    <w:rsid w:val="00A301E4"/>
    <w:rsid w:val="00A37518"/>
    <w:rsid w:val="00A53096"/>
    <w:rsid w:val="00A53D5C"/>
    <w:rsid w:val="00A6744B"/>
    <w:rsid w:val="00A676C3"/>
    <w:rsid w:val="00A67E62"/>
    <w:rsid w:val="00A706C8"/>
    <w:rsid w:val="00A7600C"/>
    <w:rsid w:val="00A9171C"/>
    <w:rsid w:val="00AC6EDA"/>
    <w:rsid w:val="00AD1395"/>
    <w:rsid w:val="00AD7C66"/>
    <w:rsid w:val="00AE59D7"/>
    <w:rsid w:val="00AE7639"/>
    <w:rsid w:val="00B0182E"/>
    <w:rsid w:val="00B040AE"/>
    <w:rsid w:val="00B10C67"/>
    <w:rsid w:val="00B169FF"/>
    <w:rsid w:val="00B16B25"/>
    <w:rsid w:val="00B355F4"/>
    <w:rsid w:val="00B361E3"/>
    <w:rsid w:val="00B46BCA"/>
    <w:rsid w:val="00B47A7C"/>
    <w:rsid w:val="00B51640"/>
    <w:rsid w:val="00B7122A"/>
    <w:rsid w:val="00B72C20"/>
    <w:rsid w:val="00B822B0"/>
    <w:rsid w:val="00B91AC7"/>
    <w:rsid w:val="00B97AA2"/>
    <w:rsid w:val="00BA580E"/>
    <w:rsid w:val="00BB0849"/>
    <w:rsid w:val="00BD13F0"/>
    <w:rsid w:val="00BE5B61"/>
    <w:rsid w:val="00BF4BB3"/>
    <w:rsid w:val="00BF5A62"/>
    <w:rsid w:val="00BF6583"/>
    <w:rsid w:val="00C00AA0"/>
    <w:rsid w:val="00C06981"/>
    <w:rsid w:val="00C07636"/>
    <w:rsid w:val="00C31EA0"/>
    <w:rsid w:val="00C53C36"/>
    <w:rsid w:val="00C554FD"/>
    <w:rsid w:val="00C66494"/>
    <w:rsid w:val="00C975AC"/>
    <w:rsid w:val="00CB2C9C"/>
    <w:rsid w:val="00CC2B7E"/>
    <w:rsid w:val="00CD257F"/>
    <w:rsid w:val="00CE7BC8"/>
    <w:rsid w:val="00D07E59"/>
    <w:rsid w:val="00D10907"/>
    <w:rsid w:val="00D175D9"/>
    <w:rsid w:val="00D17C94"/>
    <w:rsid w:val="00D20CB2"/>
    <w:rsid w:val="00D31173"/>
    <w:rsid w:val="00D31A2C"/>
    <w:rsid w:val="00D436AB"/>
    <w:rsid w:val="00D572C0"/>
    <w:rsid w:val="00D705C1"/>
    <w:rsid w:val="00D7790E"/>
    <w:rsid w:val="00DB10D2"/>
    <w:rsid w:val="00DB280F"/>
    <w:rsid w:val="00DB3A2F"/>
    <w:rsid w:val="00DB500C"/>
    <w:rsid w:val="00DD55E0"/>
    <w:rsid w:val="00DD62E9"/>
    <w:rsid w:val="00DF75C4"/>
    <w:rsid w:val="00E13968"/>
    <w:rsid w:val="00E37457"/>
    <w:rsid w:val="00E4285C"/>
    <w:rsid w:val="00E54A5D"/>
    <w:rsid w:val="00E82B74"/>
    <w:rsid w:val="00EC0C88"/>
    <w:rsid w:val="00EC10FB"/>
    <w:rsid w:val="00F00EC2"/>
    <w:rsid w:val="00F1119A"/>
    <w:rsid w:val="00F115E0"/>
    <w:rsid w:val="00F13561"/>
    <w:rsid w:val="00F25355"/>
    <w:rsid w:val="00F72D05"/>
    <w:rsid w:val="00F763B8"/>
    <w:rsid w:val="00F768FB"/>
    <w:rsid w:val="00F80D8B"/>
    <w:rsid w:val="00FA7ADD"/>
    <w:rsid w:val="00FB2D5B"/>
    <w:rsid w:val="00FB3950"/>
    <w:rsid w:val="00FC50B6"/>
    <w:rsid w:val="00FF4571"/>
    <w:rsid w:val="01091C05"/>
    <w:rsid w:val="010F49DF"/>
    <w:rsid w:val="01A4014E"/>
    <w:rsid w:val="01B24106"/>
    <w:rsid w:val="01DD20EC"/>
    <w:rsid w:val="01DF24E6"/>
    <w:rsid w:val="01E41D52"/>
    <w:rsid w:val="02314EAA"/>
    <w:rsid w:val="02CE515F"/>
    <w:rsid w:val="02E006AC"/>
    <w:rsid w:val="03053E30"/>
    <w:rsid w:val="039D0572"/>
    <w:rsid w:val="03B94B5C"/>
    <w:rsid w:val="050E1D0F"/>
    <w:rsid w:val="052C62E6"/>
    <w:rsid w:val="05B661F2"/>
    <w:rsid w:val="05D621F8"/>
    <w:rsid w:val="067759EA"/>
    <w:rsid w:val="06941C32"/>
    <w:rsid w:val="08032C30"/>
    <w:rsid w:val="08DA6B0E"/>
    <w:rsid w:val="0B794B84"/>
    <w:rsid w:val="0BFD1C00"/>
    <w:rsid w:val="0C9422A9"/>
    <w:rsid w:val="0CAE2998"/>
    <w:rsid w:val="0CAF5694"/>
    <w:rsid w:val="0DB55A04"/>
    <w:rsid w:val="0DC840D0"/>
    <w:rsid w:val="0F5445FA"/>
    <w:rsid w:val="0FD2172E"/>
    <w:rsid w:val="1121761E"/>
    <w:rsid w:val="116D4EB2"/>
    <w:rsid w:val="11AA68BD"/>
    <w:rsid w:val="12011447"/>
    <w:rsid w:val="121E4FC7"/>
    <w:rsid w:val="123D3F35"/>
    <w:rsid w:val="129D1771"/>
    <w:rsid w:val="142B3BC0"/>
    <w:rsid w:val="14586CE5"/>
    <w:rsid w:val="14FD7780"/>
    <w:rsid w:val="1522319E"/>
    <w:rsid w:val="157D60E1"/>
    <w:rsid w:val="1617214C"/>
    <w:rsid w:val="16E57B9B"/>
    <w:rsid w:val="17AE418C"/>
    <w:rsid w:val="18974B72"/>
    <w:rsid w:val="18CB61AC"/>
    <w:rsid w:val="18E87059"/>
    <w:rsid w:val="18FC2B3B"/>
    <w:rsid w:val="1A092872"/>
    <w:rsid w:val="1A163AA8"/>
    <w:rsid w:val="1C5E185E"/>
    <w:rsid w:val="1CCE6BA8"/>
    <w:rsid w:val="1D014DE9"/>
    <w:rsid w:val="1D29454B"/>
    <w:rsid w:val="1D744EA5"/>
    <w:rsid w:val="1D8C65A7"/>
    <w:rsid w:val="1E7D4BE1"/>
    <w:rsid w:val="1EAE5BB2"/>
    <w:rsid w:val="1F323A1C"/>
    <w:rsid w:val="1F6D5E40"/>
    <w:rsid w:val="1F9714CC"/>
    <w:rsid w:val="1FEA4538"/>
    <w:rsid w:val="207F7145"/>
    <w:rsid w:val="20AB2A04"/>
    <w:rsid w:val="20AD4032"/>
    <w:rsid w:val="20FB6BAE"/>
    <w:rsid w:val="212C2CF1"/>
    <w:rsid w:val="21BB3F12"/>
    <w:rsid w:val="2203448C"/>
    <w:rsid w:val="229D010B"/>
    <w:rsid w:val="22D567C1"/>
    <w:rsid w:val="23145024"/>
    <w:rsid w:val="23264752"/>
    <w:rsid w:val="240E6E96"/>
    <w:rsid w:val="249F7659"/>
    <w:rsid w:val="24EB5EEF"/>
    <w:rsid w:val="251A770E"/>
    <w:rsid w:val="27CA41EF"/>
    <w:rsid w:val="27DF1FEC"/>
    <w:rsid w:val="286D4EBB"/>
    <w:rsid w:val="28D151AB"/>
    <w:rsid w:val="29993930"/>
    <w:rsid w:val="2A140BDB"/>
    <w:rsid w:val="2A680314"/>
    <w:rsid w:val="2B1B19E7"/>
    <w:rsid w:val="2BBE01D2"/>
    <w:rsid w:val="2C5027BE"/>
    <w:rsid w:val="2C9A6B6A"/>
    <w:rsid w:val="2CC01BCF"/>
    <w:rsid w:val="2D2A0E71"/>
    <w:rsid w:val="2D431AC4"/>
    <w:rsid w:val="2DC75081"/>
    <w:rsid w:val="2E0D283D"/>
    <w:rsid w:val="2E231E68"/>
    <w:rsid w:val="2E275823"/>
    <w:rsid w:val="2F446D3C"/>
    <w:rsid w:val="2F5B3428"/>
    <w:rsid w:val="2FF91D05"/>
    <w:rsid w:val="30413D8E"/>
    <w:rsid w:val="30A8351A"/>
    <w:rsid w:val="314F41F1"/>
    <w:rsid w:val="31CA7917"/>
    <w:rsid w:val="31D70A87"/>
    <w:rsid w:val="31E6015C"/>
    <w:rsid w:val="320D471C"/>
    <w:rsid w:val="321757F9"/>
    <w:rsid w:val="32293921"/>
    <w:rsid w:val="32947E0A"/>
    <w:rsid w:val="32AB7C9E"/>
    <w:rsid w:val="32BD1EA0"/>
    <w:rsid w:val="32F82A2F"/>
    <w:rsid w:val="33AE4FBC"/>
    <w:rsid w:val="34C73291"/>
    <w:rsid w:val="351E17AF"/>
    <w:rsid w:val="352D174B"/>
    <w:rsid w:val="36983B6B"/>
    <w:rsid w:val="370C4723"/>
    <w:rsid w:val="37843D44"/>
    <w:rsid w:val="381A3A5C"/>
    <w:rsid w:val="382475A2"/>
    <w:rsid w:val="38374825"/>
    <w:rsid w:val="39010DF5"/>
    <w:rsid w:val="3984377B"/>
    <w:rsid w:val="3A4B6813"/>
    <w:rsid w:val="3AF64F2B"/>
    <w:rsid w:val="3C0418B6"/>
    <w:rsid w:val="3D1E767A"/>
    <w:rsid w:val="3D300428"/>
    <w:rsid w:val="3D6630AB"/>
    <w:rsid w:val="3E9927A1"/>
    <w:rsid w:val="3F01393D"/>
    <w:rsid w:val="3F286696"/>
    <w:rsid w:val="3FCE3F3B"/>
    <w:rsid w:val="404F6679"/>
    <w:rsid w:val="41263C06"/>
    <w:rsid w:val="41335C0F"/>
    <w:rsid w:val="41D54B5C"/>
    <w:rsid w:val="42041BF2"/>
    <w:rsid w:val="421304D7"/>
    <w:rsid w:val="421774BD"/>
    <w:rsid w:val="43373068"/>
    <w:rsid w:val="4350006E"/>
    <w:rsid w:val="438B7970"/>
    <w:rsid w:val="43C748AB"/>
    <w:rsid w:val="43E31C22"/>
    <w:rsid w:val="457304FC"/>
    <w:rsid w:val="466A76B4"/>
    <w:rsid w:val="46D04246"/>
    <w:rsid w:val="470E6C95"/>
    <w:rsid w:val="47131708"/>
    <w:rsid w:val="47465255"/>
    <w:rsid w:val="4781276F"/>
    <w:rsid w:val="478D206A"/>
    <w:rsid w:val="47900B6D"/>
    <w:rsid w:val="48A94A3C"/>
    <w:rsid w:val="48AC595B"/>
    <w:rsid w:val="491E6FD0"/>
    <w:rsid w:val="49602DC9"/>
    <w:rsid w:val="49B24078"/>
    <w:rsid w:val="49E948D9"/>
    <w:rsid w:val="49FE12F0"/>
    <w:rsid w:val="4AB31814"/>
    <w:rsid w:val="4B2876B5"/>
    <w:rsid w:val="4BF049B7"/>
    <w:rsid w:val="4C486CB8"/>
    <w:rsid w:val="4CD76FC7"/>
    <w:rsid w:val="4D393DF9"/>
    <w:rsid w:val="4D3A7527"/>
    <w:rsid w:val="4D4B7953"/>
    <w:rsid w:val="4DE07D5D"/>
    <w:rsid w:val="4F6D4EA4"/>
    <w:rsid w:val="50A44079"/>
    <w:rsid w:val="50C60EB4"/>
    <w:rsid w:val="51266AA5"/>
    <w:rsid w:val="521837FD"/>
    <w:rsid w:val="52B016A8"/>
    <w:rsid w:val="530F4CA6"/>
    <w:rsid w:val="5322110D"/>
    <w:rsid w:val="532F4120"/>
    <w:rsid w:val="533B7F7B"/>
    <w:rsid w:val="53445064"/>
    <w:rsid w:val="53736321"/>
    <w:rsid w:val="538075A7"/>
    <w:rsid w:val="53A06074"/>
    <w:rsid w:val="53A206F9"/>
    <w:rsid w:val="54373FE6"/>
    <w:rsid w:val="546B6EBC"/>
    <w:rsid w:val="55E5259E"/>
    <w:rsid w:val="56B8337C"/>
    <w:rsid w:val="56C41998"/>
    <w:rsid w:val="57386303"/>
    <w:rsid w:val="58171C5F"/>
    <w:rsid w:val="5ADB2402"/>
    <w:rsid w:val="5AF50C8C"/>
    <w:rsid w:val="5BF94B2E"/>
    <w:rsid w:val="5E7C4265"/>
    <w:rsid w:val="5EA91B17"/>
    <w:rsid w:val="5F1D7B34"/>
    <w:rsid w:val="5F6A683F"/>
    <w:rsid w:val="60342D77"/>
    <w:rsid w:val="60E74E24"/>
    <w:rsid w:val="61193594"/>
    <w:rsid w:val="62D52956"/>
    <w:rsid w:val="635F3637"/>
    <w:rsid w:val="651F6C24"/>
    <w:rsid w:val="656A17CF"/>
    <w:rsid w:val="65774816"/>
    <w:rsid w:val="660719F5"/>
    <w:rsid w:val="67512D1E"/>
    <w:rsid w:val="68265E90"/>
    <w:rsid w:val="689E69FF"/>
    <w:rsid w:val="68BD54CD"/>
    <w:rsid w:val="69051537"/>
    <w:rsid w:val="69AB14FE"/>
    <w:rsid w:val="6A566FB0"/>
    <w:rsid w:val="6B0D5631"/>
    <w:rsid w:val="6B2E7EB1"/>
    <w:rsid w:val="6B3434EF"/>
    <w:rsid w:val="6B5B1DC7"/>
    <w:rsid w:val="6B7F19BD"/>
    <w:rsid w:val="6C1831A7"/>
    <w:rsid w:val="6C696D88"/>
    <w:rsid w:val="6CD36911"/>
    <w:rsid w:val="6D9B013C"/>
    <w:rsid w:val="6EAF4676"/>
    <w:rsid w:val="6F9E67CC"/>
    <w:rsid w:val="72316527"/>
    <w:rsid w:val="73125643"/>
    <w:rsid w:val="73997878"/>
    <w:rsid w:val="73A60FEF"/>
    <w:rsid w:val="73BC2EBC"/>
    <w:rsid w:val="74012C6F"/>
    <w:rsid w:val="74991AFA"/>
    <w:rsid w:val="74B012E1"/>
    <w:rsid w:val="75535257"/>
    <w:rsid w:val="7684175B"/>
    <w:rsid w:val="77460338"/>
    <w:rsid w:val="78831680"/>
    <w:rsid w:val="7897242F"/>
    <w:rsid w:val="79063769"/>
    <w:rsid w:val="798344DD"/>
    <w:rsid w:val="7BC254F8"/>
    <w:rsid w:val="7BC40CF1"/>
    <w:rsid w:val="7CFD27FF"/>
    <w:rsid w:val="7D515767"/>
    <w:rsid w:val="7D604282"/>
    <w:rsid w:val="7D9D309E"/>
    <w:rsid w:val="7DA5209D"/>
    <w:rsid w:val="7DD2564E"/>
    <w:rsid w:val="7F797FDA"/>
    <w:rsid w:val="7F97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pPr>
    <w:rPr>
      <w:sz w:val="20"/>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sz w:val="24"/>
    </w:rPr>
  </w:style>
  <w:style w:type="paragraph" w:customStyle="1" w:styleId="10">
    <w:name w:val="表名"/>
    <w:basedOn w:val="1"/>
    <w:qFormat/>
    <w:uiPriority w:val="0"/>
    <w:pPr>
      <w:widowControl w:val="0"/>
      <w:overflowPunct/>
      <w:autoSpaceDE/>
      <w:autoSpaceDN/>
      <w:adjustRightInd/>
      <w:spacing w:before="60" w:after="60"/>
      <w:jc w:val="center"/>
      <w:textAlignment w:val="auto"/>
    </w:pPr>
    <w:rPr>
      <w:rFonts w:eastAsia="仿宋_GB2312"/>
      <w:b/>
      <w:kern w:val="2"/>
      <w:sz w:val="24"/>
      <w:szCs w:val="24"/>
    </w:rPr>
  </w:style>
  <w:style w:type="character" w:customStyle="1" w:styleId="11">
    <w:name w:val="font41"/>
    <w:basedOn w:val="9"/>
    <w:qFormat/>
    <w:uiPriority w:val="0"/>
    <w:rPr>
      <w:rFonts w:hint="eastAsia" w:ascii="宋体" w:hAnsi="宋体" w:eastAsia="宋体" w:cs="宋体"/>
      <w:b/>
      <w:color w:val="000000"/>
      <w:sz w:val="21"/>
      <w:szCs w:val="21"/>
      <w:u w:val="none"/>
    </w:rPr>
  </w:style>
  <w:style w:type="character" w:customStyle="1" w:styleId="12">
    <w:name w:val="font01"/>
    <w:basedOn w:val="9"/>
    <w:uiPriority w:val="0"/>
    <w:rPr>
      <w:rFonts w:ascii="仿宋_GB2312" w:eastAsia="仿宋_GB2312" w:cs="仿宋_GB2312"/>
      <w:b/>
      <w:color w:val="000000"/>
      <w:sz w:val="21"/>
      <w:szCs w:val="21"/>
      <w:u w:val="none"/>
    </w:rPr>
  </w:style>
  <w:style w:type="character" w:customStyle="1" w:styleId="13">
    <w:name w:val="font21"/>
    <w:basedOn w:val="9"/>
    <w:qFormat/>
    <w:uiPriority w:val="0"/>
    <w:rPr>
      <w:rFonts w:hint="default" w:ascii="Times New Roman" w:hAnsi="Times New Roman" w:cs="Times New Roman"/>
      <w:b/>
      <w:color w:val="000000"/>
      <w:sz w:val="21"/>
      <w:szCs w:val="21"/>
      <w:u w:val="none"/>
    </w:rPr>
  </w:style>
  <w:style w:type="character" w:customStyle="1" w:styleId="14">
    <w:name w:val="apple-converted-space"/>
    <w:basedOn w:val="9"/>
    <w:qFormat/>
    <w:uiPriority w:val="0"/>
  </w:style>
  <w:style w:type="paragraph" w:styleId="15">
    <w:name w:val="List Paragraph"/>
    <w:basedOn w:val="1"/>
    <w:unhideWhenUsed/>
    <w:qFormat/>
    <w:uiPriority w:val="34"/>
    <w:pPr>
      <w:ind w:firstLine="420" w:firstLineChars="200"/>
    </w:pPr>
  </w:style>
  <w:style w:type="character" w:customStyle="1" w:styleId="16">
    <w:name w:val="页眉 Char"/>
    <w:basedOn w:val="9"/>
    <w:link w:val="6"/>
    <w:uiPriority w:val="0"/>
    <w:rPr>
      <w:sz w:val="18"/>
      <w:szCs w:val="18"/>
    </w:rPr>
  </w:style>
  <w:style w:type="character" w:customStyle="1" w:styleId="17">
    <w:name w:val="页脚 Char"/>
    <w:basedOn w:val="9"/>
    <w:link w:val="5"/>
    <w:uiPriority w:val="99"/>
  </w:style>
  <w:style w:type="character" w:customStyle="1" w:styleId="18">
    <w:name w:val="批注框文本 Char"/>
    <w:basedOn w:val="9"/>
    <w:link w:val="4"/>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2697-A4A9-4F2E-83FF-240727D933B3}">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15</Pages>
  <Words>6582</Words>
  <Characters>6869</Characters>
  <Lines>50</Lines>
  <Paragraphs>14</Paragraphs>
  <TotalTime>55</TotalTime>
  <ScaleCrop>false</ScaleCrop>
  <LinksUpToDate>false</LinksUpToDate>
  <CharactersWithSpaces>6996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2021-07-26T08:59:00Z</dcterms:created>
  <dc:creator>霏吡尋常</dc:creator>
  <cp:lastModifiedBy>  神采 奕奕</cp:lastModifiedBy>
  <cp:lastPrinted>2021-09-23T08:08:00Z</cp:lastPrinted>
  <dcterms:modified xsi:type="dcterms:W3CDTF">2025-11-07T11:05:00Z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_DocHome">
    <vt:i4>1759219631</vt:i4>
  </property>
  <property fmtid="{D5CDD505-2E9C-101B-9397-08002B2CF9AE}" pid="4" name="ICV">
    <vt:lpwstr>C3609FCD5CCC406883F1558B78203C5F</vt:lpwstr>
  </property>
  <property fmtid="{D5CDD505-2E9C-101B-9397-08002B2CF9AE}" pid="5" name="KSOTemplateDocerSaveRecord">
    <vt:lpwstr>eyJoZGlkIjoiMjFkYWIzOGQ4ODBkMzgwNDE5MDZiOTNjNmEyNDczMDQiLCJ1c2VySWQiOiI3MjQ1MzAwNTcifQ==</vt:lpwstr>
  </property>
</Properties>
</file>