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A119E">
      <w:pPr>
        <w:spacing w:line="560" w:lineRule="exact"/>
        <w:jc w:val="center"/>
        <w:rPr>
          <w:rFonts w:ascii="黑体" w:hAnsi="黑体" w:eastAsia="黑体"/>
          <w:b/>
          <w:sz w:val="44"/>
          <w:szCs w:val="44"/>
        </w:rPr>
      </w:pPr>
      <w:bookmarkStart w:id="0" w:name="_Toc413586940"/>
      <w:r>
        <w:rPr>
          <w:rFonts w:hint="eastAsia" w:ascii="黑体" w:hAnsi="黑体" w:eastAsia="黑体"/>
          <w:b/>
          <w:sz w:val="44"/>
          <w:szCs w:val="44"/>
        </w:rPr>
        <w:t>2023年度南京市机关事务管理局</w:t>
      </w:r>
    </w:p>
    <w:p w14:paraId="7E0A23DF">
      <w:pPr>
        <w:spacing w:line="560" w:lineRule="exact"/>
        <w:jc w:val="center"/>
        <w:rPr>
          <w:rFonts w:ascii="黑体" w:hAnsi="黑体" w:eastAsia="黑体"/>
          <w:b/>
          <w:sz w:val="44"/>
          <w:szCs w:val="44"/>
        </w:rPr>
      </w:pPr>
      <w:r>
        <w:rPr>
          <w:rFonts w:hint="eastAsia" w:ascii="黑体" w:hAnsi="黑体" w:eastAsia="黑体"/>
          <w:b/>
          <w:sz w:val="44"/>
          <w:szCs w:val="44"/>
        </w:rPr>
        <w:t>整体预算绩效自评价报告</w:t>
      </w:r>
    </w:p>
    <w:p w14:paraId="71D40234">
      <w:pPr>
        <w:spacing w:line="560" w:lineRule="exact"/>
        <w:jc w:val="center"/>
        <w:rPr>
          <w:rFonts w:ascii="黑体" w:hAnsi="黑体" w:eastAsia="黑体"/>
          <w:b/>
          <w:sz w:val="44"/>
          <w:szCs w:val="44"/>
        </w:rPr>
      </w:pPr>
    </w:p>
    <w:bookmarkEnd w:id="0"/>
    <w:p w14:paraId="6B8530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财政资金使用效益，提高部门整体预算绩效管理水平，保障部门更好地履行职责，我局认真落实《2024年南京市市级预算部门（单位）绩效管理工作要求》（宁财绩〔2024〕72号）要求，对我局2023年度部门整体预算绩效进行评价，经过前期准备、评价指标研发、数据采集与核查、综合评价与分析等几个阶段，形成绩效评价报告，现将评价结果报告如下：</w:t>
      </w:r>
    </w:p>
    <w:p w14:paraId="2496BBD4">
      <w:pPr>
        <w:pStyle w:val="2"/>
        <w:spacing w:before="0" w:after="0" w:line="560" w:lineRule="exact"/>
        <w:ind w:firstLine="643" w:firstLineChars="200"/>
        <w:rPr>
          <w:rFonts w:ascii="黑体" w:hAnsi="黑体" w:eastAsia="黑体"/>
          <w:sz w:val="32"/>
          <w:szCs w:val="32"/>
        </w:rPr>
      </w:pPr>
      <w:bookmarkStart w:id="1" w:name="_Toc24624017"/>
      <w:r>
        <w:rPr>
          <w:rFonts w:hint="eastAsia" w:ascii="黑体" w:hAnsi="黑体" w:eastAsia="黑体"/>
          <w:sz w:val="32"/>
          <w:szCs w:val="32"/>
        </w:rPr>
        <w:t>一、部门</w:t>
      </w:r>
      <w:bookmarkEnd w:id="1"/>
      <w:r>
        <w:rPr>
          <w:rFonts w:hint="eastAsia" w:ascii="黑体" w:hAnsi="黑体" w:eastAsia="黑体"/>
          <w:sz w:val="32"/>
          <w:szCs w:val="32"/>
        </w:rPr>
        <w:t>基本情况</w:t>
      </w:r>
    </w:p>
    <w:p w14:paraId="2006F549">
      <w:pPr>
        <w:spacing w:line="560" w:lineRule="exact"/>
        <w:ind w:firstLine="640" w:firstLineChars="200"/>
        <w:rPr>
          <w:rFonts w:ascii="仿宋_GB2312" w:hAnsi="仿宋_GB2312" w:eastAsia="仿宋_GB2312" w:cs="仿宋_GB2312"/>
          <w:sz w:val="32"/>
          <w:szCs w:val="32"/>
        </w:rPr>
      </w:pPr>
      <w:bookmarkStart w:id="2" w:name="_Toc24624018"/>
      <w:r>
        <w:rPr>
          <w:rFonts w:hint="eastAsia" w:ascii="仿宋_GB2312" w:hAnsi="仿宋_GB2312" w:eastAsia="仿宋_GB2312" w:cs="仿宋_GB2312"/>
          <w:sz w:val="32"/>
          <w:szCs w:val="32"/>
        </w:rPr>
        <w:t>（一）部门概况</w:t>
      </w:r>
    </w:p>
    <w:p w14:paraId="0078DC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部门职能简介</w:t>
      </w:r>
      <w:bookmarkEnd w:id="2"/>
    </w:p>
    <w:p w14:paraId="2E3EB0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根据南京市人民政府办公厅文件（宁政办发</w:t>
      </w:r>
      <w:r>
        <w:rPr>
          <w:rFonts w:hint="eastAsia" w:eastAsia="仿宋_GB2312"/>
          <w:sz w:val="32"/>
          <w:szCs w:val="32"/>
        </w:rPr>
        <w:t>〔2016〕</w:t>
      </w:r>
      <w:r>
        <w:rPr>
          <w:rFonts w:hint="eastAsia" w:ascii="仿宋_GB2312" w:hAnsi="仿宋_GB2312" w:eastAsia="仿宋_GB2312" w:cs="仿宋_GB2312"/>
          <w:sz w:val="32"/>
          <w:szCs w:val="32"/>
        </w:rPr>
        <w:t>1号）规定，我局主要职责包括：</w:t>
      </w:r>
    </w:p>
    <w:p w14:paraId="61126E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（1）贯彻执行党和国家的有关方针政策，研究制定全市机关事务管理工作的具体政策和管理制度并组织实施。</w:t>
      </w:r>
    </w:p>
    <w:p w14:paraId="6F25D9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（2）会同有关部门研究制定并组织实施全市机关事务管理体制改革的政策和办法，指导区和市级机关部门机关事务工作。</w:t>
      </w:r>
    </w:p>
    <w:p w14:paraId="0F7DDC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（3）负责市级机关和事业单位的办公用房、车辆等有关国有资产产权界定、清查登记工作。</w:t>
      </w:r>
    </w:p>
    <w:p w14:paraId="76BA34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w:t>
      </w:r>
    </w:p>
    <w:p w14:paraId="7AA2C1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市级机关和事业单位公务车辆的集中统一管理；审核公务用车的编制、配备、更新、报废事项；指导区机关公务用车管理工作；监管市属国有企业公务用车；负责南京市承办的重大政治、经济、文化活动的公务车辆服务保障工作。</w:t>
      </w:r>
    </w:p>
    <w:p w14:paraId="213343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（6）推进节约型机关的建设工作；会同市节能主管部门，负责全市公共机构的节能管理工作；制定全市公共机构的节能规划、能源消耗定额和节能目标并组织实施。</w:t>
      </w:r>
    </w:p>
    <w:p w14:paraId="7A37FA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（7）负责市级机关的治安保卫工作，维护机关集中办公区的交通秩序，协助处理机关内部的交通事故、治安案件；协助有关部门维护集中办公区的上访秩序和市级领导集中住宅区的安保工作。</w:t>
      </w:r>
    </w:p>
    <w:p w14:paraId="5157E3F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（8）负责市级机关爱国卫生、环境综合治理标准化建设、绿化美化和人民防空工作。</w:t>
      </w:r>
    </w:p>
    <w:p w14:paraId="666B88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（9）会同有关部门承办来我市的内宾接待服务工作；协助承担市重要会议、大型活动的服务保障工作。</w:t>
      </w:r>
    </w:p>
    <w:p w14:paraId="19935B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（10）承办市委、市政府交办的其他事项。</w:t>
      </w:r>
    </w:p>
    <w:p w14:paraId="7507995B">
      <w:pPr>
        <w:spacing w:line="560" w:lineRule="exact"/>
        <w:ind w:firstLine="640" w:firstLineChars="200"/>
        <w:rPr>
          <w:rFonts w:ascii="仿宋_GB2312" w:hAnsi="仿宋_GB2312" w:eastAsia="仿宋_GB2312" w:cs="仿宋_GB2312"/>
          <w:sz w:val="32"/>
          <w:szCs w:val="32"/>
        </w:rPr>
      </w:pPr>
      <w:bookmarkStart w:id="3" w:name="_Toc24624019"/>
      <w:r>
        <w:rPr>
          <w:rFonts w:hint="eastAsia" w:ascii="仿宋_GB2312" w:hAnsi="仿宋_GB2312" w:eastAsia="仿宋_GB2312" w:cs="仿宋_GB2312"/>
          <w:sz w:val="32"/>
          <w:szCs w:val="32"/>
        </w:rPr>
        <w:t>2. 部门机构设置</w:t>
      </w:r>
      <w:bookmarkEnd w:id="3"/>
    </w:p>
    <w:p w14:paraId="14F3B9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部门职责分工，我局内设办公室（机关事务信息处）、人事教育处（审计处）、财务处（资产管理处）、服务监管处、房地产管理处、基建处、安全保卫处（车辆管理处）、节能管理处、政策法规处、机关党委以及离退休干部处。</w:t>
      </w:r>
    </w:p>
    <w:p w14:paraId="26DC009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3.人员情况</w:t>
      </w:r>
    </w:p>
    <w:p w14:paraId="59F0DD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我局机关编制数249人，截至2023年末，实有人数286人，其中：在职人员114人、离休人员1人、退休人员169人、编外人员2人。</w:t>
      </w:r>
    </w:p>
    <w:p w14:paraId="538E8C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4.资产情况</w:t>
      </w:r>
    </w:p>
    <w:p w14:paraId="744BA6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至</w:t>
      </w:r>
      <w:bookmarkStart w:id="4" w:name="_GoBack"/>
      <w:bookmarkEnd w:id="4"/>
      <w:r>
        <w:rPr>
          <w:rFonts w:hint="eastAsia" w:ascii="仿宋_GB2312" w:hAnsi="仿宋_GB2312" w:eastAsia="仿宋_GB2312" w:cs="仿宋_GB2312"/>
          <w:sz w:val="32"/>
          <w:szCs w:val="32"/>
        </w:rPr>
        <w:t>2023年底，我局机关资产总计480401.32万元，其中流动资产2994.41万元、非流动资产477406.91万元。</w:t>
      </w:r>
    </w:p>
    <w:p w14:paraId="2DB51B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固定资产原值647676.21万元，累计折旧金额170659.79万元，固定资产净值477016.42万元；无形资产原值512.87万元，累计摊销122.38万元，无形资产净值390.49万元；期末无在建工程余额。 </w:t>
      </w:r>
    </w:p>
    <w:p w14:paraId="7A56E9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（二）部门预算管理与使用情况</w:t>
      </w:r>
    </w:p>
    <w:p w14:paraId="02DCF9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部门整体预算及执行情况</w:t>
      </w:r>
    </w:p>
    <w:p w14:paraId="76A2BD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2023年度，我局机关年初预算数15334.19万元，调整后预算数17672.23万元,决算数17649.19万元，年末结转和结余23.04万元，整体预算调整率15.25%，调整前当年整体支出预算执行率98.22%。</w:t>
      </w:r>
    </w:p>
    <w:p w14:paraId="21148D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2.“三公两费”使用情况</w:t>
      </w:r>
    </w:p>
    <w:p w14:paraId="04C33B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2023年度，我局机关“三公两费”支出1531.99万元，其中“三公经费”支出1507万元：因公出国（境）费 0 万元、公务用车购置及运行维护费1503.44万元（包括全市党政机关和事业单位公务用车购置专项1497.10万元、公务用车运行维护费6.34万元）、公务接待费3.56万元；会议费支出7.14万元、培训费支出17.85万元。</w:t>
      </w:r>
    </w:p>
    <w:p w14:paraId="1C372239">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项目资金使用情况</w:t>
      </w:r>
    </w:p>
    <w:p w14:paraId="145B1C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2023年度，我局机关实施项目共计25项，涉及项目收入数10340.64万元、支出数10340.64万元，年末结转和结余0万元。</w:t>
      </w:r>
    </w:p>
    <w:p w14:paraId="38E7FF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（三）部门绩效目标</w:t>
      </w:r>
    </w:p>
    <w:p w14:paraId="6675F5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中长期阶段性目标</w:t>
      </w:r>
    </w:p>
    <w:p w14:paraId="7818E6F1">
      <w:pPr>
        <w:pStyle w:val="14"/>
        <w:spacing w:before="0" w:after="0" w:line="560" w:lineRule="exact"/>
        <w:ind w:firstLine="640" w:firstLineChars="200"/>
        <w:jc w:val="left"/>
        <w:rPr>
          <w:b w:val="0"/>
          <w:color w:val="000000"/>
          <w:sz w:val="32"/>
          <w:szCs w:val="32"/>
        </w:rPr>
      </w:pPr>
      <w:r>
        <w:rPr>
          <w:rFonts w:hint="eastAsia"/>
          <w:b w:val="0"/>
          <w:color w:val="000000"/>
          <w:sz w:val="32"/>
          <w:szCs w:val="32"/>
        </w:rPr>
        <w:t>（1）一体化发展构建新格局。机关事务职能作用不断强化，职责更加清晰、完备。打造以南京市、区两级为主体，辐射带动“南京都市圈”一体化发展的机关事务工作新格局。推动“南京都市圈”各成员机关事务部门工作对话交流、政策共研、标准共建、信息共享、干部共训。</w:t>
      </w:r>
    </w:p>
    <w:p w14:paraId="460C9875">
      <w:pPr>
        <w:pStyle w:val="14"/>
        <w:spacing w:before="0" w:after="0" w:line="560" w:lineRule="exact"/>
        <w:ind w:firstLine="640" w:firstLineChars="200"/>
        <w:jc w:val="left"/>
        <w:rPr>
          <w:b w:val="0"/>
          <w:color w:val="000000"/>
          <w:sz w:val="32"/>
          <w:szCs w:val="32"/>
        </w:rPr>
      </w:pPr>
      <w:r>
        <w:rPr>
          <w:rFonts w:hint="eastAsia"/>
          <w:b w:val="0"/>
          <w:color w:val="000000"/>
          <w:sz w:val="32"/>
          <w:szCs w:val="32"/>
        </w:rPr>
        <w:t>（2）机关事务治理打造新生态。推动机关事务治理体系构建，注重整体性、系统性，发挥党建引领作用，着力强化规章制度、服务标准、内部控制、考核监督体系建设，形成框架健全、衔接有序、内容充实的体系架构，不断提升机关事务治理能力，打造机关事务治理新生态。</w:t>
      </w:r>
    </w:p>
    <w:p w14:paraId="072ADE01">
      <w:pPr>
        <w:pStyle w:val="14"/>
        <w:spacing w:before="0" w:after="0" w:line="560" w:lineRule="exact"/>
        <w:ind w:firstLine="640" w:firstLineChars="200"/>
        <w:jc w:val="left"/>
        <w:rPr>
          <w:b w:val="0"/>
          <w:color w:val="000000"/>
          <w:sz w:val="32"/>
          <w:szCs w:val="32"/>
        </w:rPr>
      </w:pPr>
      <w:r>
        <w:rPr>
          <w:rFonts w:hint="eastAsia"/>
          <w:b w:val="0"/>
          <w:color w:val="000000"/>
          <w:sz w:val="32"/>
          <w:szCs w:val="32"/>
        </w:rPr>
        <w:t>（3）集中统一管理迈向新阶段。集中统一管理体制机制更加健全，以资产集中管理为基础，按照权责明晰、运行顺畅、协同高效的原则，推动机关事务各要素各环节全生命周期管理。进一步统一机关运行经费、资产、服务、能源、资源标准定额，高质量推进公物仓建设管理。</w:t>
      </w:r>
    </w:p>
    <w:p w14:paraId="3446A8EA">
      <w:pPr>
        <w:pStyle w:val="14"/>
        <w:spacing w:before="0" w:after="0" w:line="560" w:lineRule="exact"/>
        <w:ind w:firstLine="640" w:firstLineChars="200"/>
        <w:jc w:val="left"/>
        <w:rPr>
          <w:b w:val="0"/>
          <w:color w:val="000000"/>
          <w:sz w:val="32"/>
          <w:szCs w:val="32"/>
        </w:rPr>
      </w:pPr>
      <w:r>
        <w:rPr>
          <w:rFonts w:hint="eastAsia"/>
          <w:b w:val="0"/>
          <w:color w:val="000000"/>
          <w:sz w:val="32"/>
          <w:szCs w:val="32"/>
        </w:rPr>
        <w:t>（4）高品质服务保障彰显新内涵。聚焦机关服务保障新需求和社会化新趋势，在政务活动保障、医疗保健、物业管理、餐饮膳食、一站式平台、公务用车、幼儿教育等方面体现南京服务特色，传承和创建一系列彰显南京元素的服务保障品牌，为党政机关规范高效运行提供有力保障。</w:t>
      </w:r>
    </w:p>
    <w:p w14:paraId="78048289">
      <w:pPr>
        <w:pStyle w:val="14"/>
        <w:spacing w:before="0" w:after="0" w:line="560" w:lineRule="exact"/>
        <w:ind w:firstLine="640" w:firstLineChars="200"/>
        <w:jc w:val="left"/>
        <w:rPr>
          <w:b w:val="0"/>
          <w:color w:val="000000"/>
          <w:sz w:val="32"/>
          <w:szCs w:val="32"/>
        </w:rPr>
      </w:pPr>
      <w:r>
        <w:rPr>
          <w:rFonts w:hint="eastAsia"/>
          <w:b w:val="0"/>
          <w:color w:val="000000"/>
          <w:sz w:val="32"/>
          <w:szCs w:val="32"/>
        </w:rPr>
        <w:t>（5）节约型机关建设跨入新境界。贯彻习近平生态文明思想，促进能源资源降耗增效，推进能源资源节约和生态环境保护，践行“碳达峰、碳中和”。坚决制止餐饮浪费，推动党政机关厉行勤俭节约、反对铺张浪费，进一步降低机关运行成本。推行绿色办公，全面实施生活垃圾分类，形成简约适度、绿色低碳的机关运行和工作方式。</w:t>
      </w:r>
    </w:p>
    <w:p w14:paraId="7C4485F3">
      <w:pPr>
        <w:pStyle w:val="14"/>
        <w:spacing w:before="0" w:after="0" w:line="560" w:lineRule="exact"/>
        <w:ind w:firstLine="640" w:firstLineChars="200"/>
        <w:jc w:val="left"/>
        <w:rPr>
          <w:b w:val="0"/>
          <w:color w:val="000000"/>
          <w:sz w:val="32"/>
          <w:szCs w:val="32"/>
        </w:rPr>
      </w:pPr>
      <w:r>
        <w:rPr>
          <w:rFonts w:hint="eastAsia"/>
          <w:b w:val="0"/>
          <w:color w:val="000000"/>
          <w:sz w:val="32"/>
          <w:szCs w:val="32"/>
        </w:rPr>
        <w:t>（6）文化品牌建设呈现新气派。把“甘于平凡、乐于奉献”理念贯穿机关事务文化建设全过程和各领域，担负起举旗帜、聚人心、兴文化、展形象的使命任务，提升干部职工文明素质、文明程度和文化软实力，建设具有南京特色、时代特征的机关事务文化载体。</w:t>
      </w:r>
      <w:r>
        <w:rPr>
          <w:rFonts w:hint="eastAsia"/>
          <w:b w:val="0"/>
          <w:color w:val="000000"/>
          <w:sz w:val="32"/>
          <w:szCs w:val="32"/>
        </w:rPr>
        <w:tab/>
      </w:r>
      <w:r>
        <w:rPr>
          <w:rFonts w:hint="eastAsia"/>
          <w:b w:val="0"/>
          <w:color w:val="000000"/>
          <w:sz w:val="32"/>
          <w:szCs w:val="32"/>
        </w:rPr>
        <w:tab/>
      </w:r>
      <w:r>
        <w:rPr>
          <w:rFonts w:hint="eastAsia"/>
          <w:b w:val="0"/>
          <w:color w:val="000000"/>
          <w:sz w:val="32"/>
          <w:szCs w:val="32"/>
        </w:rPr>
        <w:tab/>
      </w:r>
      <w:r>
        <w:rPr>
          <w:rFonts w:hint="eastAsia"/>
          <w:b w:val="0"/>
          <w:color w:val="000000"/>
          <w:sz w:val="32"/>
          <w:szCs w:val="32"/>
        </w:rPr>
        <w:tab/>
      </w:r>
    </w:p>
    <w:p w14:paraId="1E599855">
      <w:pPr>
        <w:pStyle w:val="14"/>
        <w:spacing w:before="0" w:after="0" w:line="560" w:lineRule="exact"/>
        <w:ind w:firstLine="640" w:firstLineChars="200"/>
        <w:jc w:val="left"/>
        <w:rPr>
          <w:b w:val="0"/>
          <w:color w:val="000000"/>
          <w:sz w:val="32"/>
          <w:szCs w:val="32"/>
        </w:rPr>
      </w:pPr>
      <w:r>
        <w:rPr>
          <w:rFonts w:hint="eastAsia"/>
          <w:b w:val="0"/>
          <w:color w:val="000000"/>
          <w:sz w:val="32"/>
          <w:szCs w:val="32"/>
        </w:rPr>
        <w:t>2. 年度目标</w:t>
      </w:r>
    </w:p>
    <w:p w14:paraId="1A6E66C7">
      <w:pPr>
        <w:pStyle w:val="14"/>
        <w:spacing w:before="0" w:after="0" w:line="560" w:lineRule="exact"/>
        <w:ind w:firstLine="640" w:firstLineChars="200"/>
        <w:jc w:val="left"/>
        <w:rPr>
          <w:b w:val="0"/>
          <w:color w:val="000000"/>
          <w:sz w:val="32"/>
          <w:szCs w:val="32"/>
        </w:rPr>
      </w:pPr>
      <w:r>
        <w:rPr>
          <w:rFonts w:hint="eastAsia"/>
          <w:b w:val="0"/>
          <w:color w:val="000000"/>
          <w:sz w:val="32"/>
          <w:szCs w:val="32"/>
        </w:rPr>
        <w:t>（1）持续推进资产资源集中统一管理，进一步落实“过紧日子”要求。</w:t>
      </w:r>
    </w:p>
    <w:p w14:paraId="35A3859B">
      <w:pPr>
        <w:pStyle w:val="14"/>
        <w:spacing w:before="0" w:after="0" w:line="560" w:lineRule="exact"/>
        <w:ind w:firstLine="640" w:firstLineChars="200"/>
        <w:jc w:val="left"/>
        <w:rPr>
          <w:b w:val="0"/>
          <w:color w:val="000000"/>
          <w:sz w:val="32"/>
          <w:szCs w:val="32"/>
        </w:rPr>
      </w:pPr>
      <w:r>
        <w:rPr>
          <w:rFonts w:hint="eastAsia"/>
          <w:b w:val="0"/>
          <w:color w:val="000000"/>
          <w:sz w:val="32"/>
          <w:szCs w:val="32"/>
        </w:rPr>
        <w:t>（2）全面实施公共机构绿色低碳引领行动，进一步推动绿色机关建设。</w:t>
      </w:r>
    </w:p>
    <w:p w14:paraId="3D3ED9E1">
      <w:pPr>
        <w:pStyle w:val="14"/>
        <w:spacing w:before="0" w:after="0" w:line="560" w:lineRule="exact"/>
        <w:ind w:firstLine="640" w:firstLineChars="200"/>
        <w:jc w:val="left"/>
        <w:rPr>
          <w:b w:val="0"/>
          <w:color w:val="000000"/>
          <w:sz w:val="32"/>
          <w:szCs w:val="32"/>
          <w:highlight w:val="yellow"/>
        </w:rPr>
      </w:pPr>
      <w:r>
        <w:rPr>
          <w:rFonts w:hint="eastAsia"/>
          <w:b w:val="0"/>
          <w:color w:val="000000"/>
          <w:sz w:val="32"/>
          <w:szCs w:val="32"/>
        </w:rPr>
        <w:t>（3）切实推动管理服务效率效能提升，进一步保障机关高效运转。</w:t>
      </w:r>
    </w:p>
    <w:p w14:paraId="697038BD">
      <w:pPr>
        <w:pStyle w:val="14"/>
        <w:spacing w:before="0" w:after="0" w:line="560" w:lineRule="exact"/>
        <w:ind w:firstLine="640" w:firstLineChars="200"/>
        <w:jc w:val="both"/>
        <w:rPr>
          <w:rFonts w:ascii="黑体" w:hAnsi="黑体" w:eastAsia="黑体"/>
          <w:b w:val="0"/>
          <w:sz w:val="32"/>
          <w:szCs w:val="32"/>
        </w:rPr>
      </w:pPr>
      <w:r>
        <w:rPr>
          <w:rFonts w:ascii="黑体" w:hAnsi="黑体" w:eastAsia="黑体"/>
          <w:b w:val="0"/>
          <w:sz w:val="32"/>
          <w:szCs w:val="32"/>
        </w:rPr>
        <w:t>二</w:t>
      </w:r>
      <w:r>
        <w:rPr>
          <w:rFonts w:hint="eastAsia" w:ascii="黑体" w:hAnsi="黑体" w:eastAsia="黑体"/>
          <w:b w:val="0"/>
          <w:sz w:val="32"/>
          <w:szCs w:val="32"/>
        </w:rPr>
        <w:t>、评价结论</w:t>
      </w:r>
    </w:p>
    <w:p w14:paraId="14D44016">
      <w:pPr>
        <w:widowControl w:val="0"/>
        <w:overflowPunct/>
        <w:autoSpaceDE/>
        <w:autoSpaceDN/>
        <w:adjustRightInd/>
        <w:spacing w:line="560" w:lineRule="exact"/>
        <w:ind w:firstLine="640" w:firstLineChars="200"/>
        <w:textAlignment w:val="auto"/>
        <w:rPr>
          <w:rFonts w:eastAsia="仿宋_GB2312"/>
          <w:sz w:val="32"/>
          <w:szCs w:val="32"/>
        </w:rPr>
      </w:pPr>
      <w:r>
        <w:rPr>
          <w:rFonts w:hint="eastAsia" w:eastAsia="仿宋_GB2312"/>
          <w:sz w:val="32"/>
          <w:szCs w:val="32"/>
        </w:rPr>
        <w:t>以指标体系为基础，经过确认评价基础数据，按照制定的评价标准与评分规则，以100分为评价标杆分值，从部门决策、部门管理、部门履职、履职绩效、可持续发展能力等五个方面对我局机关2023年度部门整体绩效进行综合评价和量化打分。经评价，我局机关2023年度部门整体绩效评分结果为99.11分（详见附件：《南京市机关事务管理局2023年度部门整体支出绩效综合评价表》），等级“优秀”。</w:t>
      </w:r>
    </w:p>
    <w:p w14:paraId="7762D230">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三、部门履职成效</w:t>
      </w:r>
    </w:p>
    <w:p w14:paraId="6E4CDEBD">
      <w:pPr>
        <w:pStyle w:val="3"/>
        <w:spacing w:before="0" w:after="0" w:line="560" w:lineRule="exact"/>
        <w:ind w:firstLine="640"/>
        <w:rPr>
          <w:rFonts w:ascii="Times New Roman" w:hAnsi="Times New Roman" w:eastAsia="仿宋_GB2312" w:cs="Times New Roman"/>
          <w:b w:val="0"/>
          <w:bCs w:val="0"/>
        </w:rPr>
      </w:pPr>
      <w:r>
        <w:rPr>
          <w:rFonts w:hint="eastAsia" w:ascii="Times New Roman" w:hAnsi="Times New Roman" w:eastAsia="仿宋_GB2312" w:cs="Times New Roman"/>
          <w:b w:val="0"/>
          <w:bCs w:val="0"/>
        </w:rPr>
        <w:t>（一）办公用房管理情况</w:t>
      </w:r>
    </w:p>
    <w:p w14:paraId="22F33A0A">
      <w:pPr>
        <w:widowControl w:val="0"/>
        <w:overflowPunct/>
        <w:autoSpaceDE/>
        <w:autoSpaceDN/>
        <w:adjustRightInd/>
        <w:spacing w:line="560" w:lineRule="exact"/>
        <w:ind w:firstLine="640"/>
        <w:textAlignment w:val="auto"/>
      </w:pPr>
      <w:r>
        <w:rPr>
          <w:rFonts w:hint="eastAsia" w:eastAsia="仿宋_GB2312"/>
          <w:b/>
          <w:bCs/>
          <w:sz w:val="32"/>
          <w:szCs w:val="32"/>
        </w:rPr>
        <w:t>一是统一规划。</w:t>
      </w:r>
      <w:r>
        <w:rPr>
          <w:rFonts w:hint="eastAsia" w:eastAsia="仿宋_GB2312"/>
          <w:sz w:val="32"/>
          <w:szCs w:val="32"/>
        </w:rPr>
        <w:t>结合机构改革，积极推进集中或相对集中办公，共用配套设施，节约运行成本。创建办公用房管理平台信息化标准化示范单位，加强办公用房监督管理。</w:t>
      </w:r>
      <w:r>
        <w:rPr>
          <w:rFonts w:hint="eastAsia" w:eastAsia="仿宋_GB2312"/>
          <w:b/>
          <w:bCs/>
          <w:sz w:val="32"/>
          <w:szCs w:val="32"/>
        </w:rPr>
        <w:t>二是统一权属。</w:t>
      </w:r>
      <w:r>
        <w:rPr>
          <w:rFonts w:hint="eastAsia" w:eastAsia="仿宋_GB2312"/>
          <w:sz w:val="32"/>
          <w:szCs w:val="32"/>
        </w:rPr>
        <w:t>推动完成雨花、浦口、江宁、溧水区“四套班子”办公用房权属统一登记工作；累计</w:t>
      </w:r>
      <w:r>
        <w:rPr>
          <w:rFonts w:eastAsia="仿宋_GB2312"/>
          <w:sz w:val="32"/>
          <w:szCs w:val="32"/>
        </w:rPr>
        <w:t>完成</w:t>
      </w:r>
      <w:r>
        <w:rPr>
          <w:rFonts w:hint="eastAsia" w:eastAsia="仿宋_GB2312"/>
          <w:sz w:val="32"/>
          <w:szCs w:val="32"/>
        </w:rPr>
        <w:t>清风园二期等39</w:t>
      </w:r>
      <w:r>
        <w:rPr>
          <w:rFonts w:eastAsia="仿宋_GB2312"/>
          <w:sz w:val="32"/>
          <w:szCs w:val="32"/>
        </w:rPr>
        <w:t>处</w:t>
      </w:r>
      <w:r>
        <w:rPr>
          <w:rFonts w:hint="eastAsia" w:eastAsia="仿宋_GB2312"/>
          <w:sz w:val="32"/>
          <w:szCs w:val="32"/>
        </w:rPr>
        <w:t>、</w:t>
      </w:r>
      <w:r>
        <w:rPr>
          <w:rFonts w:eastAsia="仿宋_GB2312"/>
          <w:sz w:val="32"/>
          <w:szCs w:val="32"/>
        </w:rPr>
        <w:t>建筑面积</w:t>
      </w:r>
      <w:r>
        <w:rPr>
          <w:rFonts w:hint="eastAsia" w:eastAsia="仿宋_GB2312"/>
          <w:sz w:val="32"/>
          <w:szCs w:val="32"/>
        </w:rPr>
        <w:t>19.47万</w:t>
      </w:r>
      <w:r>
        <w:rPr>
          <w:rFonts w:eastAsia="仿宋_GB2312"/>
          <w:sz w:val="32"/>
          <w:szCs w:val="32"/>
        </w:rPr>
        <w:t>平方米</w:t>
      </w:r>
      <w:r>
        <w:rPr>
          <w:rFonts w:hint="eastAsia" w:eastAsia="仿宋_GB2312"/>
          <w:sz w:val="32"/>
          <w:szCs w:val="32"/>
        </w:rPr>
        <w:t>的</w:t>
      </w:r>
      <w:r>
        <w:rPr>
          <w:rFonts w:eastAsia="仿宋_GB2312"/>
          <w:sz w:val="32"/>
          <w:szCs w:val="32"/>
        </w:rPr>
        <w:t>机关事业单位房产权属统一登记</w:t>
      </w:r>
      <w:r>
        <w:rPr>
          <w:rFonts w:hint="eastAsia" w:eastAsia="仿宋_GB2312"/>
          <w:sz w:val="32"/>
          <w:szCs w:val="32"/>
        </w:rPr>
        <w:t>。</w:t>
      </w:r>
      <w:r>
        <w:rPr>
          <w:rFonts w:hint="eastAsia" w:eastAsia="仿宋_GB2312"/>
          <w:b/>
          <w:bCs/>
          <w:sz w:val="32"/>
          <w:szCs w:val="32"/>
        </w:rPr>
        <w:t>三是统一配置。</w:t>
      </w:r>
      <w:r>
        <w:rPr>
          <w:rFonts w:hint="eastAsia" w:eastAsia="仿宋_GB2312"/>
          <w:sz w:val="32"/>
          <w:szCs w:val="32"/>
        </w:rPr>
        <w:t>加大调剂使用力度，降低行政运行成本，全年</w:t>
      </w:r>
      <w:r>
        <w:rPr>
          <w:rFonts w:eastAsia="仿宋_GB2312"/>
          <w:sz w:val="32"/>
          <w:szCs w:val="32"/>
        </w:rPr>
        <w:t>调剂使用办公用房18处，</w:t>
      </w:r>
      <w:r>
        <w:rPr>
          <w:rFonts w:hint="eastAsia" w:eastAsia="仿宋_GB2312"/>
          <w:sz w:val="32"/>
          <w:szCs w:val="32"/>
        </w:rPr>
        <w:t>调剂</w:t>
      </w:r>
      <w:r>
        <w:rPr>
          <w:rFonts w:eastAsia="仿宋_GB2312"/>
          <w:sz w:val="32"/>
          <w:szCs w:val="32"/>
        </w:rPr>
        <w:t>面积</w:t>
      </w:r>
      <w:r>
        <w:rPr>
          <w:rFonts w:hint="eastAsia" w:eastAsia="仿宋_GB2312"/>
          <w:sz w:val="32"/>
          <w:szCs w:val="32"/>
        </w:rPr>
        <w:t>达1.95万</w:t>
      </w:r>
      <w:r>
        <w:rPr>
          <w:rFonts w:eastAsia="仿宋_GB2312"/>
          <w:sz w:val="32"/>
          <w:szCs w:val="32"/>
        </w:rPr>
        <w:t>平方米。</w:t>
      </w:r>
      <w:r>
        <w:rPr>
          <w:rFonts w:hint="eastAsia" w:eastAsia="仿宋_GB2312"/>
          <w:b/>
          <w:bCs/>
          <w:sz w:val="32"/>
          <w:szCs w:val="32"/>
        </w:rPr>
        <w:t>四是统一处置。</w:t>
      </w:r>
      <w:r>
        <w:rPr>
          <w:rFonts w:hint="eastAsia" w:eastAsia="仿宋_GB2312"/>
          <w:sz w:val="32"/>
          <w:szCs w:val="32"/>
        </w:rPr>
        <w:t>按照办公优先、宜租则租、宜售则售的原则，对存量房产规范有序处置，年内</w:t>
      </w:r>
      <w:r>
        <w:rPr>
          <w:rFonts w:eastAsia="仿宋_GB2312"/>
          <w:sz w:val="32"/>
          <w:szCs w:val="32"/>
        </w:rPr>
        <w:t>出租</w:t>
      </w:r>
      <w:r>
        <w:rPr>
          <w:rFonts w:hint="eastAsia" w:eastAsia="仿宋_GB2312"/>
          <w:sz w:val="32"/>
          <w:szCs w:val="32"/>
        </w:rPr>
        <w:t>、</w:t>
      </w:r>
      <w:r>
        <w:rPr>
          <w:rFonts w:eastAsia="仿宋_GB2312"/>
          <w:sz w:val="32"/>
          <w:szCs w:val="32"/>
        </w:rPr>
        <w:t>拍卖处置收益</w:t>
      </w:r>
      <w:r>
        <w:rPr>
          <w:rFonts w:hint="eastAsia" w:eastAsia="仿宋_GB2312"/>
          <w:sz w:val="32"/>
          <w:szCs w:val="32"/>
        </w:rPr>
        <w:t>均足额上缴市财政。</w:t>
      </w:r>
    </w:p>
    <w:p w14:paraId="5D21EAC4">
      <w:pPr>
        <w:spacing w:line="560" w:lineRule="exact"/>
        <w:ind w:firstLine="640" w:firstLineChars="200"/>
        <w:rPr>
          <w:rFonts w:eastAsia="仿宋_GB2312"/>
          <w:sz w:val="32"/>
          <w:szCs w:val="32"/>
        </w:rPr>
      </w:pPr>
      <w:r>
        <w:rPr>
          <w:rFonts w:hint="eastAsia" w:eastAsia="仿宋_GB2312"/>
          <w:sz w:val="32"/>
          <w:szCs w:val="32"/>
        </w:rPr>
        <w:t>（二）公务用车管理情况</w:t>
      </w:r>
    </w:p>
    <w:p w14:paraId="15FCD882">
      <w:pPr>
        <w:spacing w:line="560" w:lineRule="exact"/>
        <w:ind w:firstLine="640" w:firstLineChars="200"/>
      </w:pPr>
      <w:r>
        <w:rPr>
          <w:rFonts w:hint="eastAsia" w:eastAsia="仿宋_GB2312"/>
          <w:sz w:val="32"/>
          <w:szCs w:val="32"/>
        </w:rPr>
        <w:t>响应过“紧日子”要求，</w:t>
      </w:r>
      <w:r>
        <w:rPr>
          <w:rFonts w:eastAsia="仿宋_GB2312"/>
          <w:sz w:val="32"/>
          <w:szCs w:val="32"/>
        </w:rPr>
        <w:t>抓好《南京市党政机关公务用车管理办法》宣贯</w:t>
      </w:r>
      <w:r>
        <w:rPr>
          <w:rFonts w:hint="eastAsia" w:eastAsia="仿宋_GB2312"/>
          <w:sz w:val="32"/>
          <w:szCs w:val="32"/>
        </w:rPr>
        <w:t>；严格审批2024年度党政机关及事业单位公车购置更新计划，压缩年度公车购置数量和经费</w:t>
      </w:r>
      <w:r>
        <w:rPr>
          <w:rFonts w:eastAsia="仿宋_GB2312"/>
          <w:sz w:val="32"/>
          <w:szCs w:val="32"/>
        </w:rPr>
        <w:t>；</w:t>
      </w:r>
      <w:r>
        <w:rPr>
          <w:rFonts w:hint="eastAsia" w:eastAsia="仿宋_GB2312"/>
          <w:sz w:val="32"/>
          <w:szCs w:val="32"/>
        </w:rPr>
        <w:t>贯彻市委、市政府支持新能源汽车产业发展要求，推动新能源汽车在行政事业单位广泛应用，全年公</w:t>
      </w:r>
      <w:r>
        <w:rPr>
          <w:rFonts w:eastAsia="仿宋_GB2312"/>
          <w:sz w:val="32"/>
          <w:szCs w:val="32"/>
        </w:rPr>
        <w:t>车购置</w:t>
      </w:r>
      <w:r>
        <w:rPr>
          <w:rFonts w:hint="eastAsia" w:eastAsia="仿宋_GB2312"/>
          <w:sz w:val="32"/>
          <w:szCs w:val="32"/>
        </w:rPr>
        <w:t>中</w:t>
      </w:r>
      <w:r>
        <w:rPr>
          <w:rFonts w:eastAsia="仿宋_GB2312"/>
          <w:sz w:val="32"/>
          <w:szCs w:val="32"/>
        </w:rPr>
        <w:t>新能源车占比</w:t>
      </w:r>
      <w:r>
        <w:rPr>
          <w:rFonts w:hint="eastAsia" w:eastAsia="仿宋_GB2312"/>
          <w:sz w:val="32"/>
          <w:szCs w:val="32"/>
        </w:rPr>
        <w:t>86</w:t>
      </w:r>
      <w:r>
        <w:rPr>
          <w:rFonts w:eastAsia="仿宋_GB2312"/>
          <w:sz w:val="32"/>
          <w:szCs w:val="32"/>
        </w:rPr>
        <w:t>%</w:t>
      </w:r>
      <w:r>
        <w:rPr>
          <w:rFonts w:hint="eastAsia" w:eastAsia="仿宋_GB2312"/>
          <w:sz w:val="32"/>
          <w:szCs w:val="32"/>
        </w:rPr>
        <w:t>；</w:t>
      </w:r>
      <w:r>
        <w:rPr>
          <w:rFonts w:eastAsia="仿宋_GB2312"/>
          <w:sz w:val="32"/>
          <w:szCs w:val="32"/>
        </w:rPr>
        <w:t>落实平台专人巡查机制，</w:t>
      </w:r>
      <w:r>
        <w:rPr>
          <w:rFonts w:hint="eastAsia" w:eastAsia="仿宋_GB2312"/>
          <w:sz w:val="32"/>
          <w:szCs w:val="32"/>
        </w:rPr>
        <w:t>及时处理各类预警信息。</w:t>
      </w:r>
    </w:p>
    <w:p w14:paraId="6501BCF6">
      <w:pPr>
        <w:spacing w:line="560" w:lineRule="exact"/>
        <w:ind w:firstLine="640" w:firstLineChars="200"/>
        <w:rPr>
          <w:rFonts w:eastAsia="仿宋_GB2312"/>
          <w:sz w:val="32"/>
          <w:szCs w:val="32"/>
        </w:rPr>
      </w:pPr>
      <w:r>
        <w:rPr>
          <w:rFonts w:hint="eastAsia" w:eastAsia="仿宋_GB2312"/>
          <w:sz w:val="32"/>
          <w:szCs w:val="32"/>
        </w:rPr>
        <w:t>（三）后勤服务监管情况</w:t>
      </w:r>
    </w:p>
    <w:p w14:paraId="57CCBD16">
      <w:pPr>
        <w:snapToGrid w:val="0"/>
        <w:spacing w:line="560" w:lineRule="exact"/>
        <w:ind w:firstLine="640" w:firstLineChars="200"/>
      </w:pPr>
      <w:r>
        <w:rPr>
          <w:rFonts w:hint="eastAsia" w:eastAsia="仿宋_GB2312"/>
          <w:color w:val="000000"/>
          <w:sz w:val="32"/>
          <w:szCs w:val="32"/>
        </w:rPr>
        <w:t>强化</w:t>
      </w:r>
      <w:r>
        <w:rPr>
          <w:rFonts w:eastAsia="仿宋_GB2312"/>
          <w:color w:val="000000"/>
          <w:sz w:val="32"/>
          <w:szCs w:val="32"/>
        </w:rPr>
        <w:t>直属单位绩效考核工作</w:t>
      </w:r>
      <w:r>
        <w:rPr>
          <w:rFonts w:hint="eastAsia" w:eastAsia="仿宋_GB2312"/>
          <w:color w:val="000000"/>
          <w:sz w:val="32"/>
          <w:szCs w:val="32"/>
        </w:rPr>
        <w:t>，将</w:t>
      </w:r>
      <w:r>
        <w:rPr>
          <w:rFonts w:eastAsia="仿宋_GB2312"/>
          <w:color w:val="000000"/>
          <w:sz w:val="32"/>
          <w:szCs w:val="32"/>
        </w:rPr>
        <w:t>直属单位重点服务窗口摄像头接入平台，实现实时动态监管；</w:t>
      </w:r>
      <w:r>
        <w:rPr>
          <w:rFonts w:hint="eastAsia" w:eastAsia="仿宋_GB2312"/>
          <w:color w:val="000000"/>
          <w:sz w:val="32"/>
          <w:szCs w:val="32"/>
        </w:rPr>
        <w:t>组织</w:t>
      </w:r>
      <w:r>
        <w:rPr>
          <w:rFonts w:eastAsia="仿宋_GB2312"/>
          <w:color w:val="000000"/>
          <w:sz w:val="32"/>
          <w:szCs w:val="32"/>
        </w:rPr>
        <w:t>开展“服务质量提升专项行动”</w:t>
      </w:r>
      <w:r>
        <w:rPr>
          <w:rFonts w:hint="eastAsia" w:eastAsia="仿宋_GB2312"/>
          <w:color w:val="000000"/>
          <w:sz w:val="32"/>
          <w:szCs w:val="32"/>
        </w:rPr>
        <w:t>和“</w:t>
      </w:r>
      <w:r>
        <w:rPr>
          <w:rFonts w:eastAsia="仿宋_GB2312"/>
          <w:color w:val="000000"/>
          <w:sz w:val="32"/>
          <w:szCs w:val="32"/>
        </w:rPr>
        <w:t>服务对象满意度测评</w:t>
      </w:r>
      <w:r>
        <w:rPr>
          <w:rFonts w:hint="eastAsia" w:eastAsia="仿宋_GB2312"/>
          <w:color w:val="000000"/>
          <w:sz w:val="32"/>
          <w:szCs w:val="32"/>
        </w:rPr>
        <w:t>”</w:t>
      </w:r>
      <w:r>
        <w:rPr>
          <w:rFonts w:eastAsia="仿宋_GB2312"/>
          <w:color w:val="000000"/>
          <w:sz w:val="32"/>
          <w:szCs w:val="32"/>
        </w:rPr>
        <w:t>，指导督促各单位</w:t>
      </w:r>
      <w:r>
        <w:rPr>
          <w:rFonts w:hint="eastAsia" w:eastAsia="仿宋_GB2312"/>
          <w:color w:val="000000"/>
          <w:sz w:val="32"/>
          <w:szCs w:val="32"/>
        </w:rPr>
        <w:t>完成并</w:t>
      </w:r>
      <w:r>
        <w:rPr>
          <w:rFonts w:eastAsia="仿宋_GB2312"/>
          <w:color w:val="000000"/>
          <w:sz w:val="32"/>
          <w:szCs w:val="32"/>
        </w:rPr>
        <w:t>做好整改落实</w:t>
      </w:r>
      <w:r>
        <w:rPr>
          <w:rFonts w:hint="eastAsia" w:eastAsia="仿宋_GB2312"/>
          <w:color w:val="000000"/>
          <w:sz w:val="32"/>
          <w:szCs w:val="32"/>
        </w:rPr>
        <w:t>；</w:t>
      </w:r>
      <w:r>
        <w:rPr>
          <w:rFonts w:eastAsia="仿宋_GB2312"/>
          <w:color w:val="000000"/>
          <w:sz w:val="32"/>
          <w:szCs w:val="32"/>
        </w:rPr>
        <w:t>承办全省公共机构垃圾分类现场会</w:t>
      </w:r>
      <w:r>
        <w:rPr>
          <w:rFonts w:hint="eastAsia" w:eastAsia="仿宋_GB2312"/>
          <w:color w:val="000000"/>
          <w:sz w:val="32"/>
          <w:szCs w:val="32"/>
        </w:rPr>
        <w:t>，</w:t>
      </w:r>
      <w:r>
        <w:rPr>
          <w:rFonts w:eastAsia="仿宋_GB2312"/>
          <w:color w:val="000000"/>
          <w:sz w:val="32"/>
          <w:szCs w:val="32"/>
        </w:rPr>
        <w:t>成功创建3家省级垃圾分类示范点。牵头组织召开机关事务服务标准现场观摩会，分享机关事务服务保障流程、展示服务标准化建设成果，进一步推动标准化与业务工作深度融合。</w:t>
      </w:r>
    </w:p>
    <w:p w14:paraId="4EA152B0">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（四）基建项目完成情况</w:t>
      </w:r>
    </w:p>
    <w:p w14:paraId="67ACAD46">
      <w:pPr>
        <w:spacing w:line="560" w:lineRule="exact"/>
        <w:ind w:firstLine="640" w:firstLineChars="200"/>
        <w:rPr>
          <w:rFonts w:ascii="仿宋" w:hAnsi="仿宋" w:eastAsia="仿宋"/>
          <w:sz w:val="32"/>
          <w:szCs w:val="32"/>
        </w:rPr>
      </w:pPr>
      <w:r>
        <w:rPr>
          <w:rFonts w:eastAsia="仿宋_GB2312"/>
          <w:color w:val="000000"/>
          <w:sz w:val="32"/>
          <w:szCs w:val="32"/>
        </w:rPr>
        <w:t>认真</w:t>
      </w:r>
      <w:r>
        <w:rPr>
          <w:rFonts w:hint="eastAsia" w:eastAsia="仿宋_GB2312"/>
          <w:color w:val="000000"/>
          <w:sz w:val="32"/>
          <w:szCs w:val="32"/>
        </w:rPr>
        <w:t>贯彻落实集中建设工作要求</w:t>
      </w:r>
      <w:r>
        <w:rPr>
          <w:rFonts w:eastAsia="仿宋_GB2312"/>
          <w:color w:val="000000"/>
          <w:sz w:val="32"/>
          <w:szCs w:val="32"/>
        </w:rPr>
        <w:t>，</w:t>
      </w:r>
      <w:r>
        <w:rPr>
          <w:rFonts w:hint="eastAsia" w:eastAsia="仿宋_GB2312"/>
          <w:color w:val="000000"/>
          <w:sz w:val="32"/>
          <w:szCs w:val="32"/>
        </w:rPr>
        <w:t>加强流程管控。2023年度重点做好南京市老年病防治研究中心项目、</w:t>
      </w:r>
      <w:r>
        <w:rPr>
          <w:rFonts w:eastAsia="仿宋_GB2312"/>
          <w:color w:val="000000"/>
          <w:sz w:val="32"/>
          <w:szCs w:val="32"/>
        </w:rPr>
        <w:t>与项目主体配套的谭延闿故居文物修缮项目</w:t>
      </w:r>
      <w:r>
        <w:rPr>
          <w:rFonts w:hint="eastAsia" w:eastAsia="仿宋_GB2312"/>
          <w:color w:val="000000"/>
          <w:sz w:val="32"/>
          <w:szCs w:val="32"/>
        </w:rPr>
        <w:t>、</w:t>
      </w:r>
      <w:r>
        <w:rPr>
          <w:rFonts w:eastAsia="仿宋_GB2312"/>
          <w:color w:val="000000"/>
          <w:sz w:val="32"/>
          <w:szCs w:val="32"/>
        </w:rPr>
        <w:t>跨珍珠河人行桥工程</w:t>
      </w:r>
      <w:r>
        <w:rPr>
          <w:rFonts w:hint="eastAsia" w:eastAsia="仿宋_GB2312"/>
          <w:color w:val="000000"/>
          <w:sz w:val="32"/>
          <w:szCs w:val="32"/>
        </w:rPr>
        <w:t>项目，积极与多方沟通推进项目实施；全年开展市级行政事业单位办公用房集中建设项目共18项，包括</w:t>
      </w:r>
      <w:r>
        <w:rPr>
          <w:rFonts w:eastAsia="仿宋_GB2312"/>
          <w:color w:val="000000"/>
          <w:sz w:val="32"/>
          <w:szCs w:val="32"/>
        </w:rPr>
        <w:t>市检察院办公楼配套设施维修、市交通执法监督局二支队档案室及部分办公设施维修等9个续建项目</w:t>
      </w:r>
      <w:r>
        <w:rPr>
          <w:rFonts w:hint="eastAsia" w:eastAsia="仿宋_GB2312"/>
          <w:color w:val="000000"/>
          <w:sz w:val="32"/>
          <w:szCs w:val="32"/>
        </w:rPr>
        <w:t>，</w:t>
      </w:r>
      <w:r>
        <w:rPr>
          <w:rFonts w:eastAsia="仿宋_GB2312"/>
          <w:color w:val="000000"/>
          <w:sz w:val="32"/>
          <w:szCs w:val="32"/>
        </w:rPr>
        <w:t>市法院综合楼空调系统改造、市级机关游泳馆维修出新等4个新项目，</w:t>
      </w:r>
      <w:r>
        <w:rPr>
          <w:rFonts w:hint="eastAsia" w:eastAsia="仿宋_GB2312"/>
          <w:color w:val="000000"/>
          <w:sz w:val="32"/>
          <w:szCs w:val="32"/>
        </w:rPr>
        <w:t>均已顺利</w:t>
      </w:r>
      <w:r>
        <w:rPr>
          <w:rFonts w:eastAsia="仿宋_GB2312"/>
          <w:color w:val="000000"/>
          <w:sz w:val="32"/>
          <w:szCs w:val="32"/>
        </w:rPr>
        <w:t>完成施工任务</w:t>
      </w:r>
      <w:r>
        <w:rPr>
          <w:rFonts w:hint="eastAsia" w:eastAsia="仿宋_GB2312"/>
          <w:color w:val="000000"/>
          <w:sz w:val="32"/>
          <w:szCs w:val="32"/>
        </w:rPr>
        <w:t>。</w:t>
      </w:r>
    </w:p>
    <w:p w14:paraId="3514F36B">
      <w:pPr>
        <w:pStyle w:val="3"/>
        <w:spacing w:before="0" w:after="0" w:line="560" w:lineRule="exact"/>
        <w:ind w:left="420" w:left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（五）机关事务安全生产情况</w:t>
      </w:r>
    </w:p>
    <w:p w14:paraId="1FA1505D">
      <w:pPr>
        <w:spacing w:line="560" w:lineRule="exact"/>
        <w:ind w:firstLine="640" w:firstLineChars="200"/>
      </w:pPr>
      <w:r>
        <w:rPr>
          <w:rFonts w:hint="eastAsia" w:eastAsia="仿宋_GB2312"/>
          <w:color w:val="000000"/>
          <w:sz w:val="32"/>
          <w:szCs w:val="32"/>
        </w:rPr>
        <w:t>制定下发《全市机关事务领域重大事故隐患专项排查整治2023行动方案》，推进机关事务安全生产专项整治及大检查工作，防范各类消防安全事故发生；及时组织全市机关事务领域燃气安全风险隐患拉网式排查专项行动，并对市级机关集中办公区、部分独立办公单位、局直属事业单位的重点部位进行</w:t>
      </w:r>
      <w:r>
        <w:rPr>
          <w:rFonts w:eastAsia="仿宋_GB2312"/>
          <w:color w:val="000000"/>
          <w:sz w:val="32"/>
          <w:szCs w:val="32"/>
        </w:rPr>
        <w:t>现场检查</w:t>
      </w:r>
      <w:r>
        <w:rPr>
          <w:rFonts w:hint="eastAsia" w:eastAsia="仿宋_GB2312"/>
          <w:color w:val="000000"/>
          <w:sz w:val="32"/>
          <w:szCs w:val="32"/>
        </w:rPr>
        <w:t>。在全市机关事务领域开展党政机关办公用房“生命至上，隐患必除”消防安全专项行动，参与对机关事务部门管理的住宅及非住宅类房产全面排查工作；</w:t>
      </w:r>
      <w:r>
        <w:rPr>
          <w:rFonts w:eastAsia="仿宋_GB2312"/>
          <w:color w:val="000000"/>
          <w:sz w:val="32"/>
          <w:szCs w:val="32"/>
        </w:rPr>
        <w:t>结合“119消防宣传月”活动，</w:t>
      </w:r>
      <w:r>
        <w:rPr>
          <w:rFonts w:hint="eastAsia" w:eastAsia="仿宋_GB2312"/>
          <w:color w:val="000000"/>
          <w:sz w:val="32"/>
          <w:szCs w:val="32"/>
        </w:rPr>
        <w:t>组织驻新城大厦单位进行疏散演练，组织机关大院各单位工作人员开展消防器材操作培训与实操演练；组织直属安保队员、外聘保安消防演练等活动，着力提升机关干部职工安全意识和消防应急处置能力。</w:t>
      </w:r>
    </w:p>
    <w:p w14:paraId="16CF30DC">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（六）机关事务标准化建设情况</w:t>
      </w:r>
    </w:p>
    <w:p w14:paraId="2C064880">
      <w:pPr>
        <w:spacing w:line="560" w:lineRule="exact"/>
        <w:ind w:firstLine="640" w:firstLineChars="200"/>
        <w:rPr>
          <w:rFonts w:ascii="仿宋" w:hAnsi="仿宋" w:eastAsia="仿宋"/>
          <w:sz w:val="32"/>
          <w:szCs w:val="32"/>
        </w:rPr>
      </w:pPr>
      <w:r>
        <w:rPr>
          <w:rFonts w:hint="eastAsia" w:eastAsia="仿宋_GB2312"/>
          <w:color w:val="000000" w:themeColor="text1"/>
          <w:sz w:val="32"/>
          <w:szCs w:val="32"/>
        </w:rPr>
        <w:t>2023年，2项涉及江苏省地方标准获江苏省市场监督管理局立项，实现南京市机关事务管理局省标零的突破。开展机关事务管理类5项地方标准实施效果评价工作，构建从技术水平、实施过程和实施效益三大方面评价地方标准实施效果的基本模型。“党政机关大型固定资产设施设备运维管理标准化省级标准化专项试点项目”圆满通过江苏省专家组验收，在全省首批次试点项目中排名第一。</w:t>
      </w:r>
    </w:p>
    <w:p w14:paraId="0D436309">
      <w:pPr>
        <w:pStyle w:val="3"/>
        <w:numPr>
          <w:ilvl w:val="0"/>
          <w:numId w:val="2"/>
        </w:numPr>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党建工作情况</w:t>
      </w:r>
    </w:p>
    <w:p w14:paraId="1914523F">
      <w:pPr>
        <w:spacing w:line="560" w:lineRule="exact"/>
        <w:ind w:firstLine="640" w:firstLineChars="200"/>
        <w:rPr>
          <w:rFonts w:eastAsia="仿宋_GB2312"/>
          <w:sz w:val="32"/>
          <w:szCs w:val="32"/>
        </w:rPr>
      </w:pPr>
      <w:r>
        <w:rPr>
          <w:rFonts w:hint="eastAsia" w:eastAsia="仿宋_GB2312"/>
          <w:sz w:val="32"/>
          <w:szCs w:val="32"/>
        </w:rPr>
        <w:t>一是突出“忠”字狠抓政治建设。认真落实“第一议题”制度，组织局党组理论学习中心组26次，学习研讨7次。二是突出“育”字狠抓思想建设。撰写的调研课题：《以文化为柄，拨亮机关思想政治工作的灯火》获2023年南京市思政工作课题研究优秀成果三等奖。局机关党委被“南京新风”网站评为“宣传报道工作”先进单位，3人被评为优秀通讯员。一人被评为“学习强国先进个人”。三是突出“实”字狠抓组织建设。局机关“勤学社”青年学习小组被评为省级“青年书香号”。牵头组建局系统7支“情满桑榆”党员志愿服务队，一对一帮扶社区失独老人。四是突出“严”字狠抓作风建设。制定局党组落实全面从严治党“两个责任清单”。开展惠民演出等办实事项目，共服务干部职工群众4000余人。</w:t>
      </w:r>
    </w:p>
    <w:p w14:paraId="3B700B7A">
      <w:pPr>
        <w:pStyle w:val="12"/>
        <w:numPr>
          <w:ilvl w:val="0"/>
          <w:numId w:val="3"/>
        </w:numPr>
        <w:spacing w:line="560" w:lineRule="exact"/>
        <w:ind w:firstLine="640"/>
        <w:outlineLvl w:val="1"/>
        <w:rPr>
          <w:rFonts w:eastAsia="仿宋_GB2312"/>
          <w:color w:val="000000" w:themeColor="text1"/>
          <w:sz w:val="32"/>
          <w:szCs w:val="32"/>
        </w:rPr>
      </w:pPr>
      <w:r>
        <w:rPr>
          <w:rFonts w:hint="eastAsia" w:eastAsia="仿宋_GB2312"/>
          <w:sz w:val="32"/>
          <w:szCs w:val="32"/>
        </w:rPr>
        <w:t>机关事务法治化建设情况</w:t>
      </w:r>
    </w:p>
    <w:p w14:paraId="0AFF7077">
      <w:pPr>
        <w:pStyle w:val="12"/>
        <w:spacing w:line="560" w:lineRule="exact"/>
        <w:ind w:firstLine="640"/>
        <w:outlineLvl w:val="1"/>
        <w:rPr>
          <w:rFonts w:eastAsia="仿宋_GB2312"/>
          <w:color w:val="000000" w:themeColor="text1"/>
          <w:sz w:val="32"/>
          <w:szCs w:val="32"/>
        </w:rPr>
      </w:pPr>
      <w:r>
        <w:rPr>
          <w:rFonts w:hint="eastAsia" w:eastAsia="仿宋_GB2312"/>
          <w:color w:val="000000" w:themeColor="text1"/>
          <w:sz w:val="32"/>
          <w:szCs w:val="32"/>
        </w:rPr>
        <w:t>组织开展局机关本级和各直属事业单位党政主要负责人和领导班子成员述法工作。推动</w:t>
      </w:r>
      <w:r>
        <w:rPr>
          <w:rFonts w:hint="eastAsia" w:eastAsia="仿宋_GB2312"/>
          <w:color w:val="000000"/>
          <w:sz w:val="32"/>
        </w:rPr>
        <w:t>《南京市机关运行保障条例》列入南京市人大常委会2023—2027年立法计划，并做好相关部门（单位）的立法调研工作；</w:t>
      </w:r>
      <w:r>
        <w:rPr>
          <w:rFonts w:hint="eastAsia" w:eastAsia="仿宋_GB2312"/>
          <w:color w:val="000000"/>
          <w:sz w:val="32"/>
          <w:szCs w:val="32"/>
        </w:rPr>
        <w:t>出台《南京市机关事务管理局2023年度法治建设工作要点》，</w:t>
      </w:r>
      <w:r>
        <w:rPr>
          <w:rFonts w:hint="eastAsia" w:eastAsia="仿宋_GB2312"/>
          <w:color w:val="000000" w:themeColor="text1"/>
          <w:sz w:val="32"/>
          <w:szCs w:val="32"/>
        </w:rPr>
        <w:t>加强法律顾问和公职律师管理，开展局系统法律顾问履职尽责情况评估，会同南京市社会科学院对《南京市机关事务管理办法》进行立法后评估。</w:t>
      </w:r>
    </w:p>
    <w:p w14:paraId="43E5CC27">
      <w:pPr>
        <w:pStyle w:val="12"/>
        <w:numPr>
          <w:ilvl w:val="0"/>
          <w:numId w:val="3"/>
        </w:numPr>
        <w:spacing w:line="560" w:lineRule="exact"/>
        <w:ind w:firstLine="640"/>
        <w:outlineLvl w:val="1"/>
        <w:rPr>
          <w:rFonts w:eastAsia="仿宋_GB2312"/>
          <w:color w:val="000000" w:themeColor="text1"/>
          <w:sz w:val="32"/>
          <w:szCs w:val="32"/>
        </w:rPr>
      </w:pPr>
      <w:r>
        <w:rPr>
          <w:rFonts w:hint="eastAsia" w:eastAsia="仿宋_GB2312"/>
          <w:sz w:val="32"/>
          <w:szCs w:val="32"/>
        </w:rPr>
        <w:t>公共机构节能情况</w:t>
      </w:r>
    </w:p>
    <w:p w14:paraId="6CDDD2A6">
      <w:pPr>
        <w:pStyle w:val="12"/>
        <w:spacing w:line="560" w:lineRule="exact"/>
        <w:ind w:firstLine="640"/>
        <w:outlineLvl w:val="1"/>
        <w:rPr>
          <w:rFonts w:eastAsia="仿宋_GB2312"/>
        </w:rPr>
      </w:pPr>
      <w:r>
        <w:rPr>
          <w:rFonts w:hint="eastAsia" w:ascii="仿宋_GB2312" w:eastAsia="仿宋_GB2312"/>
          <w:bCs/>
          <w:color w:val="000000" w:themeColor="text1"/>
          <w:sz w:val="32"/>
          <w:szCs w:val="32"/>
        </w:rPr>
        <w:t>一是项目建设取得新成效。</w:t>
      </w:r>
      <w:r>
        <w:rPr>
          <w:rFonts w:hint="eastAsia" w:ascii="仿宋_GB2312" w:eastAsia="仿宋_GB2312"/>
          <w:color w:val="000000" w:themeColor="text1"/>
          <w:sz w:val="32"/>
          <w:szCs w:val="32"/>
        </w:rPr>
        <w:t>全市完成公共机构分布式光伏项目33个，总建设面积15.5万平方米，装机容量15.5兆瓦，年发电量1550万度。市本级16处、区级10处办公场所安装智能调控终端，迎峰度夏期间，节电量2509万度。</w:t>
      </w:r>
      <w:r>
        <w:rPr>
          <w:rFonts w:hint="eastAsia" w:ascii="仿宋_GB2312" w:eastAsia="仿宋_GB2312"/>
          <w:bCs/>
          <w:color w:val="000000" w:themeColor="text1"/>
          <w:sz w:val="32"/>
          <w:szCs w:val="32"/>
        </w:rPr>
        <w:t>二是扎实推进能源能耗管理。</w:t>
      </w:r>
      <w:r>
        <w:rPr>
          <w:rFonts w:hint="eastAsia" w:ascii="仿宋_GB2312" w:eastAsia="仿宋_GB2312"/>
          <w:color w:val="000000" w:themeColor="text1"/>
          <w:sz w:val="32"/>
          <w:szCs w:val="32"/>
        </w:rPr>
        <w:t>实施综合性合同能源管理项目6个，改造面积13.97万平方米，全市公共机构单位建筑面积能耗6.74千克标煤/平方米，人均综合能耗111.88千克标煤/人，人均用水量18.54立方米/人，同比分别下降7.42%、10.57%、9.52%。</w:t>
      </w:r>
      <w:r>
        <w:rPr>
          <w:rFonts w:hint="eastAsia" w:ascii="仿宋_GB2312" w:eastAsia="仿宋_GB2312"/>
          <w:bCs/>
          <w:color w:val="000000" w:themeColor="text1"/>
          <w:sz w:val="32"/>
          <w:szCs w:val="32"/>
        </w:rPr>
        <w:t>三是积极创建节约型机关。</w:t>
      </w:r>
      <w:r>
        <w:rPr>
          <w:rFonts w:hint="eastAsia" w:ascii="仿宋_GB2312" w:eastAsia="仿宋_GB2312"/>
          <w:color w:val="000000" w:themeColor="text1"/>
          <w:sz w:val="32"/>
          <w:szCs w:val="32"/>
        </w:rPr>
        <w:t>发布南京市地方标准《公共机构食堂反食品浪费成效评估规范》，全市776家区级及以上党政机关100%建成节约型机关，7家单位创建省级公共机构节能低碳示范单位</w:t>
      </w:r>
      <w:r>
        <w:rPr>
          <w:rFonts w:eastAsia="仿宋_GB2312"/>
          <w:color w:val="000000" w:themeColor="text1"/>
          <w:sz w:val="32"/>
          <w:szCs w:val="32"/>
        </w:rPr>
        <w:t>。</w:t>
      </w:r>
    </w:p>
    <w:p w14:paraId="7882168B">
      <w:pPr>
        <w:pStyle w:val="3"/>
        <w:numPr>
          <w:ilvl w:val="0"/>
          <w:numId w:val="3"/>
        </w:numPr>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信息化建设情况</w:t>
      </w:r>
    </w:p>
    <w:p w14:paraId="47C53085">
      <w:pPr>
        <w:spacing w:line="560" w:lineRule="exact"/>
        <w:ind w:firstLine="640" w:firstLineChars="200"/>
        <w:rPr>
          <w:rFonts w:eastAsia="仿宋_GB2312"/>
          <w:sz w:val="32"/>
          <w:szCs w:val="32"/>
        </w:rPr>
      </w:pPr>
      <w:r>
        <w:rPr>
          <w:rFonts w:hint="eastAsia" w:eastAsia="仿宋_GB2312"/>
          <w:sz w:val="32"/>
          <w:szCs w:val="32"/>
        </w:rPr>
        <w:t>一是建设智慧机关事务管理系统（2023），</w:t>
      </w:r>
      <w:r>
        <w:rPr>
          <w:rFonts w:eastAsia="仿宋_GB2312"/>
          <w:sz w:val="32"/>
          <w:szCs w:val="32"/>
        </w:rPr>
        <w:t>新增“区级业务”子页面</w:t>
      </w:r>
      <w:r>
        <w:rPr>
          <w:rFonts w:hint="eastAsia" w:eastAsia="仿宋_GB2312"/>
          <w:sz w:val="32"/>
          <w:szCs w:val="32"/>
        </w:rPr>
        <w:t>，</w:t>
      </w:r>
      <w:r>
        <w:rPr>
          <w:rFonts w:eastAsia="仿宋_GB2312"/>
          <w:sz w:val="32"/>
          <w:szCs w:val="32"/>
        </w:rPr>
        <w:t>升级改版机关事务线上一站式办事大厅</w:t>
      </w:r>
      <w:r>
        <w:rPr>
          <w:rFonts w:hint="eastAsia" w:eastAsia="仿宋_GB2312"/>
          <w:sz w:val="32"/>
          <w:szCs w:val="32"/>
        </w:rPr>
        <w:t>，</w:t>
      </w:r>
      <w:r>
        <w:rPr>
          <w:rFonts w:eastAsia="仿宋_GB2312"/>
          <w:sz w:val="32"/>
          <w:szCs w:val="32"/>
        </w:rPr>
        <w:t>升级安保信息化系统</w:t>
      </w:r>
      <w:r>
        <w:rPr>
          <w:rFonts w:hint="eastAsia" w:eastAsia="仿宋_GB2312"/>
          <w:sz w:val="32"/>
          <w:szCs w:val="32"/>
        </w:rPr>
        <w:t>、</w:t>
      </w:r>
      <w:r>
        <w:rPr>
          <w:rFonts w:eastAsia="仿宋_GB2312"/>
          <w:sz w:val="32"/>
          <w:szCs w:val="32"/>
        </w:rPr>
        <w:t>公务用车信息化系统</w:t>
      </w:r>
      <w:r>
        <w:rPr>
          <w:rFonts w:hint="eastAsia" w:eastAsia="仿宋_GB2312"/>
          <w:sz w:val="32"/>
          <w:szCs w:val="32"/>
        </w:rPr>
        <w:t>，</w:t>
      </w:r>
      <w:r>
        <w:rPr>
          <w:rFonts w:eastAsia="仿宋_GB2312"/>
          <w:sz w:val="32"/>
          <w:szCs w:val="32"/>
        </w:rPr>
        <w:t>新建政务物业信息化系统</w:t>
      </w:r>
      <w:r>
        <w:rPr>
          <w:rFonts w:hint="eastAsia" w:eastAsia="仿宋_GB2312"/>
          <w:sz w:val="32"/>
          <w:szCs w:val="32"/>
        </w:rPr>
        <w:t>；二是对局机关网络机房进行集中整治，出台《南京市机关事务管理局办公网络管理办法》，优化办公网络结构；三是出台《南京市智慧机关事务管理系统集中统管办法》，对各类信息化系统的管理进行规范；四是组织网络安全演练和宣传，提高网络安全防护能力；五是落实好重大会议和节日期间政府网站和网络安全24小时值班制度，确保重点网站和重要信息系统安全稳定运行。</w:t>
      </w:r>
    </w:p>
    <w:p w14:paraId="4F9E7A40">
      <w:pPr>
        <w:numPr>
          <w:ilvl w:val="0"/>
          <w:numId w:val="3"/>
        </w:numPr>
        <w:ind w:firstLine="640" w:firstLineChars="200"/>
        <w:rPr>
          <w:rFonts w:eastAsia="仿宋_GB2312"/>
          <w:sz w:val="32"/>
          <w:szCs w:val="32"/>
        </w:rPr>
      </w:pPr>
      <w:r>
        <w:rPr>
          <w:rFonts w:hint="eastAsia" w:eastAsia="仿宋_GB2312"/>
          <w:sz w:val="32"/>
          <w:szCs w:val="32"/>
        </w:rPr>
        <w:t>人力资源建设情况</w:t>
      </w:r>
    </w:p>
    <w:p w14:paraId="68DCB633">
      <w:pPr>
        <w:spacing w:line="560" w:lineRule="exact"/>
        <w:ind w:firstLine="640" w:firstLineChars="200"/>
        <w:rPr>
          <w:rFonts w:eastAsia="仿宋_GB2312"/>
          <w:sz w:val="32"/>
          <w:szCs w:val="32"/>
        </w:rPr>
      </w:pPr>
      <w:r>
        <w:rPr>
          <w:rFonts w:hint="eastAsia" w:eastAsia="仿宋_GB2312"/>
          <w:sz w:val="32"/>
          <w:szCs w:val="32"/>
        </w:rPr>
        <w:t>持续深入推进干部综合提升工程，组织开展干部选拔任用和职级晋升工作，加强部分直属事业单位领导班子配备，合理配置干部资源，优化干部队伍结构。按照全市统一部署，完成年度公务员考录、军转干部安置等工作，指导并做好直属事业单位公开招聘工作，着力引进各类专业人才；举办“学习贯彻党的二十大精神”集中轮训培训班和全市机关事务系统“拓宽工作视野、提升综合能力”专题培训班，强化理论素养，拓宽眼界视野，提升干部综合能力；探索优化考核评优工作，突出重点岗位优化平时考核，围绕年度重点任务，精细设置各类指标，以考促干，不断激发调动干部干事热情。</w:t>
      </w:r>
    </w:p>
    <w:p w14:paraId="1647450C">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四、存在问题及原因分析</w:t>
      </w:r>
    </w:p>
    <w:p w14:paraId="3DBA43D0">
      <w:pPr>
        <w:spacing w:line="560" w:lineRule="exact"/>
        <w:ind w:firstLine="640" w:firstLineChars="200"/>
        <w:rPr>
          <w:rFonts w:eastAsia="仿宋_GB2312"/>
          <w:sz w:val="32"/>
          <w:szCs w:val="32"/>
        </w:rPr>
      </w:pPr>
      <w:r>
        <w:rPr>
          <w:rFonts w:hint="eastAsia" w:eastAsia="仿宋_GB2312"/>
          <w:sz w:val="32"/>
          <w:szCs w:val="32"/>
        </w:rPr>
        <w:t>部分项目预算执行推进有偏差。主要原因：项目前期论证还不够科学合理，可研调查有所欠缺，立项批复进度滞后，当年预算经费未能按计划执行。</w:t>
      </w:r>
    </w:p>
    <w:p w14:paraId="0150F274">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五、有关建议</w:t>
      </w:r>
    </w:p>
    <w:p w14:paraId="7AFEC312">
      <w:pPr>
        <w:snapToGrid w:val="0"/>
        <w:spacing w:line="560" w:lineRule="exact"/>
        <w:ind w:firstLine="640" w:firstLineChars="200"/>
        <w:rPr>
          <w:rFonts w:eastAsia="仿宋_GB2312"/>
          <w:sz w:val="32"/>
          <w:szCs w:val="32"/>
        </w:rPr>
      </w:pPr>
      <w:r>
        <w:rPr>
          <w:rFonts w:hint="eastAsia" w:eastAsia="仿宋_GB2312"/>
          <w:sz w:val="32"/>
          <w:szCs w:val="32"/>
        </w:rPr>
        <w:t>积极主动与项目审批部门、使用单位对接，加强与各</w:t>
      </w:r>
      <w:r>
        <w:rPr>
          <w:rFonts w:hint="eastAsia" w:ascii="仿宋" w:hAnsi="仿宋" w:eastAsia="仿宋"/>
          <w:sz w:val="32"/>
          <w:szCs w:val="32"/>
        </w:rPr>
        <w:t>业务部门的内外沟通，发挥</w:t>
      </w:r>
      <w:r>
        <w:rPr>
          <w:rFonts w:hint="eastAsia" w:eastAsia="仿宋_GB2312"/>
          <w:sz w:val="32"/>
          <w:szCs w:val="32"/>
        </w:rPr>
        <w:t>项目事前绩效评估的有效性，确保财政资金效益最大化。</w:t>
      </w:r>
    </w:p>
    <w:p w14:paraId="791DE8FA">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六、评价工作开展情况及其他需说明的情况</w:t>
      </w:r>
    </w:p>
    <w:p w14:paraId="290E6DBD">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（一）基本情况</w:t>
      </w:r>
    </w:p>
    <w:p w14:paraId="562993D5">
      <w:pPr>
        <w:widowControl w:val="0"/>
        <w:spacing w:line="560" w:lineRule="exact"/>
        <w:ind w:firstLine="640" w:firstLineChars="200"/>
        <w:rPr>
          <w:rFonts w:eastAsia="仿宋_GB2312"/>
          <w:sz w:val="32"/>
          <w:szCs w:val="32"/>
        </w:rPr>
      </w:pPr>
      <w:r>
        <w:rPr>
          <w:rFonts w:hint="eastAsia" w:eastAsia="仿宋_GB2312"/>
          <w:sz w:val="32"/>
          <w:szCs w:val="32"/>
        </w:rPr>
        <w:t>1.评价目的</w:t>
      </w:r>
    </w:p>
    <w:p w14:paraId="35ABBAC5">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开展部门整体绩效评价是全面贯彻落实《中共江苏省委 江苏省人民政府关于全面实施预算绩效管理的实施意见》的重要举措。根据《2024年度南京市市级预算部门（单位）绩效管理工作要求》（宁财绩〔2024〕72号）要求，开展部门整体绩效评价的目的是“促进部门从整体提升预算绩效管理工作水平及使用效益，保障部门更好地履行职责”，具体包括：</w:t>
      </w:r>
    </w:p>
    <w:p w14:paraId="1AFCAB08">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1）通过对部门整体绩效评价，可以发现部门管理的薄弱环节，促进其改进和创新管理方式，提高管理效能和管理质量。同时，发现部门在提供公共服务方面存在的短板和不足，为有效提高财政资金配置水平和提升政府公共服务质量做出积极探索。</w:t>
      </w:r>
    </w:p>
    <w:p w14:paraId="5DD40B69">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2）部门整体绩效评价更加关注部门财政资金的预算安排的合理性和整体效益，例如，资金结构与部门职能的匹配程度、预算规模对部门绩效目标实现的保障水平、资金的支出与部门所提供的公共服务的支持程度等。因此，部门整体绩效评价的覆盖面更广、层次更深，更能综合反映部门财政资金的综合效益。</w:t>
      </w:r>
    </w:p>
    <w:p w14:paraId="5807A1A8">
      <w:pPr>
        <w:widowControl w:val="0"/>
        <w:spacing w:line="560" w:lineRule="exact"/>
        <w:ind w:firstLine="640" w:firstLineChars="200"/>
        <w:rPr>
          <w:rFonts w:eastAsia="仿宋_GB2312"/>
          <w:sz w:val="32"/>
          <w:szCs w:val="32"/>
        </w:rPr>
      </w:pPr>
      <w:r>
        <w:rPr>
          <w:rFonts w:hint="eastAsia" w:eastAsia="仿宋_GB2312"/>
          <w:sz w:val="32"/>
          <w:szCs w:val="32"/>
        </w:rPr>
        <w:t>2.评价对象及范围</w:t>
      </w:r>
    </w:p>
    <w:p w14:paraId="57EAC77A">
      <w:pPr>
        <w:widowControl w:val="0"/>
        <w:spacing w:line="560" w:lineRule="exact"/>
        <w:ind w:firstLine="640" w:firstLineChars="200"/>
        <w:rPr>
          <w:rFonts w:eastAsia="仿宋_GB2312"/>
          <w:sz w:val="32"/>
          <w:szCs w:val="32"/>
        </w:rPr>
      </w:pPr>
      <w:r>
        <w:rPr>
          <w:rFonts w:hint="eastAsia" w:eastAsia="仿宋_GB2312"/>
          <w:sz w:val="32"/>
          <w:szCs w:val="32"/>
        </w:rPr>
        <w:t>2023年度部门预算和部门所管理的专项资金。</w:t>
      </w:r>
    </w:p>
    <w:p w14:paraId="1300A44B">
      <w:pPr>
        <w:widowControl w:val="0"/>
        <w:spacing w:line="560" w:lineRule="exact"/>
        <w:ind w:firstLine="640" w:firstLineChars="200"/>
        <w:rPr>
          <w:rFonts w:eastAsia="仿宋_GB2312"/>
          <w:sz w:val="32"/>
          <w:szCs w:val="32"/>
        </w:rPr>
      </w:pPr>
      <w:r>
        <w:rPr>
          <w:rFonts w:hint="eastAsia" w:eastAsia="仿宋_GB2312"/>
          <w:sz w:val="32"/>
          <w:szCs w:val="32"/>
        </w:rPr>
        <w:t>3.评价原则</w:t>
      </w:r>
    </w:p>
    <w:p w14:paraId="59591BA4">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（1）科学规范原则。注重财政支出的经济性、效率性和有效性，采用定量与定性相结合的方法。</w:t>
      </w:r>
    </w:p>
    <w:p w14:paraId="383CA2BA">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（2）公开公正原则。客观、公正，标准统一、数据资料真实可靠，公开并接受监督。</w:t>
      </w:r>
    </w:p>
    <w:p w14:paraId="6C79D1E1">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（3）问题导向原则。发现问题、分析问题和解决问题,程序与结果并重。</w:t>
      </w:r>
    </w:p>
    <w:p w14:paraId="50AF9DBD">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（4）统一管理原则。自觉接受财政部门统一组织管理。</w:t>
      </w:r>
    </w:p>
    <w:p w14:paraId="503B94DE">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（5）绩效相关原则。针对具体投入及其产出绩效进行，评价结果清晰反映投入和绩效之间的对应关系。</w:t>
      </w:r>
    </w:p>
    <w:p w14:paraId="288E8024">
      <w:pPr>
        <w:widowControl w:val="0"/>
        <w:spacing w:line="560" w:lineRule="exact"/>
        <w:ind w:firstLine="640" w:firstLineChars="200"/>
        <w:rPr>
          <w:rFonts w:eastAsia="仿宋_GB2312"/>
          <w:sz w:val="32"/>
          <w:szCs w:val="32"/>
        </w:rPr>
      </w:pPr>
      <w:r>
        <w:rPr>
          <w:rFonts w:hint="eastAsia" w:eastAsia="仿宋_GB2312"/>
          <w:sz w:val="32"/>
          <w:szCs w:val="32"/>
        </w:rPr>
        <w:t>4.评价方法</w:t>
      </w:r>
    </w:p>
    <w:p w14:paraId="484013BF">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综合运用成本效益分析法、因素分析法等方法，具体通过资料梳理、调研访谈、制定评价指标和标准、数据采集等方                                                    式进行部门整体支出绩效综合评价。评价指标采取定量与定性相结合、优先定量的原则。</w:t>
      </w:r>
    </w:p>
    <w:p w14:paraId="25EF9CE8">
      <w:pPr>
        <w:widowControl w:val="0"/>
        <w:spacing w:line="560" w:lineRule="exact"/>
        <w:ind w:firstLine="640" w:firstLineChars="200"/>
        <w:rPr>
          <w:rFonts w:eastAsia="仿宋_GB2312"/>
          <w:sz w:val="32"/>
          <w:szCs w:val="32"/>
        </w:rPr>
      </w:pPr>
      <w:r>
        <w:rPr>
          <w:rFonts w:hint="eastAsia" w:eastAsia="仿宋_GB2312"/>
          <w:sz w:val="32"/>
          <w:szCs w:val="32"/>
        </w:rPr>
        <w:t>5.评价指标体系</w:t>
      </w:r>
    </w:p>
    <w:p w14:paraId="3E7FBA08">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评价以南京市财政局《2024年度南京市市级预算部门（单位）绩效管理工作要求》（宁财绩〔2024〕72号）为指引，结合管理局特点，从“部门决策、部门管理、部门履职、履职绩效、可持续发展能力”五个维度设计指标，其中“部门决策”“部门管理”两类指标参照了南京市财政局规定的共性指标。“部门履职”“履职绩效”“可持续发展能力”三类指标充分考虑了管理局职能特点和年度重点工作任务等内容。</w:t>
      </w:r>
    </w:p>
    <w:p w14:paraId="04D395D3">
      <w:pPr>
        <w:widowControl w:val="0"/>
        <w:overflowPunct/>
        <w:spacing w:line="560" w:lineRule="exact"/>
        <w:ind w:firstLine="640" w:firstLineChars="200"/>
        <w:textAlignment w:val="auto"/>
        <w:rPr>
          <w:rFonts w:eastAsia="仿宋_GB2312"/>
          <w:sz w:val="32"/>
          <w:szCs w:val="32"/>
        </w:rPr>
      </w:pPr>
      <w:r>
        <w:rPr>
          <w:rFonts w:hint="eastAsia" w:eastAsia="仿宋_GB2312"/>
          <w:sz w:val="32"/>
          <w:szCs w:val="32"/>
        </w:rPr>
        <w:t>评价通过设计评价指标、制定评价标准以及评分规则等，形成了一套较为完整的绩效评价指标体系。指标设计遵循了相关性、可比性、重要性的原则，以财政资金管理使用为主线，沿着资金的使用前、使用中、使用后的逻辑路径，力求涵盖部门的目标任务、预算配置、预算执行、预算管理、资产管理、职责履行和履职效益等内容。</w:t>
      </w:r>
    </w:p>
    <w:p w14:paraId="504542F2">
      <w:pPr>
        <w:pStyle w:val="3"/>
        <w:spacing w:before="0" w:after="0" w:line="560" w:lineRule="exact"/>
        <w:ind w:firstLine="640" w:firstLineChars="200"/>
        <w:rPr>
          <w:rFonts w:ascii="Times New Roman" w:hAnsi="Times New Roman" w:eastAsia="仿宋_GB2312" w:cs="Times New Roman"/>
          <w:b w:val="0"/>
          <w:bCs w:val="0"/>
        </w:rPr>
      </w:pPr>
      <w:r>
        <w:rPr>
          <w:rFonts w:hint="eastAsia" w:ascii="Times New Roman" w:hAnsi="Times New Roman" w:eastAsia="仿宋_GB2312" w:cs="Times New Roman"/>
          <w:b w:val="0"/>
          <w:bCs w:val="0"/>
        </w:rPr>
        <w:t>（二）评价组织实施</w:t>
      </w:r>
    </w:p>
    <w:p w14:paraId="1CDCF379">
      <w:pPr>
        <w:widowControl w:val="0"/>
        <w:spacing w:line="560" w:lineRule="exact"/>
        <w:ind w:firstLine="640" w:firstLineChars="200"/>
        <w:rPr>
          <w:rFonts w:eastAsia="仿宋_GB2312"/>
          <w:sz w:val="32"/>
          <w:szCs w:val="32"/>
        </w:rPr>
      </w:pPr>
      <w:r>
        <w:rPr>
          <w:rFonts w:hint="eastAsia" w:eastAsia="仿宋_GB2312"/>
          <w:sz w:val="32"/>
          <w:szCs w:val="32"/>
        </w:rPr>
        <w:t>1.前期准备情况</w:t>
      </w:r>
    </w:p>
    <w:p w14:paraId="1858CE36">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局分管领导、局财务处（资产管理处）、办公室（机关事务信息处）、人事教育处（审计处）等处室相关人员，在去年开展自评价要求的基础上，通过现场调研，调查了解政策背景、资金规模、实施内容、范围及期限、绩效目标以及项目的组织实施管理等情况，初步确定评价总体工作思路，并形成绩效评价工作方案初稿。</w:t>
      </w:r>
    </w:p>
    <w:p w14:paraId="7971696D">
      <w:pPr>
        <w:widowControl w:val="0"/>
        <w:spacing w:line="560" w:lineRule="exact"/>
        <w:ind w:firstLine="640" w:firstLineChars="200"/>
        <w:rPr>
          <w:rFonts w:eastAsia="仿宋_GB2312"/>
          <w:sz w:val="32"/>
          <w:szCs w:val="32"/>
        </w:rPr>
      </w:pPr>
      <w:r>
        <w:rPr>
          <w:rFonts w:hint="eastAsia" w:eastAsia="仿宋_GB2312"/>
          <w:sz w:val="32"/>
          <w:szCs w:val="32"/>
        </w:rPr>
        <w:t>2.现场核查情况</w:t>
      </w:r>
    </w:p>
    <w:p w14:paraId="23CF09E6">
      <w:pPr>
        <w:widowControl w:val="0"/>
        <w:spacing w:line="560" w:lineRule="exact"/>
        <w:rPr>
          <w:rFonts w:eastAsia="仿宋_GB2312"/>
          <w:sz w:val="32"/>
          <w:szCs w:val="32"/>
        </w:rPr>
      </w:pPr>
      <w:r>
        <w:rPr>
          <w:rFonts w:hint="eastAsia" w:eastAsia="仿宋_GB2312"/>
          <w:sz w:val="32"/>
          <w:szCs w:val="32"/>
        </w:rPr>
        <w:t xml:space="preserve">   （1）现场查阅、复核。对管理局整体绩效相关资料进</w:t>
      </w:r>
      <w:r>
        <w:rPr>
          <w:rFonts w:hint="eastAsia" w:eastAsia="仿宋_GB2312"/>
          <w:sz w:val="32"/>
          <w:szCs w:val="32"/>
          <w:lang w:eastAsia="zh-CN"/>
        </w:rPr>
        <w:t>行</w:t>
      </w:r>
      <w:r>
        <w:rPr>
          <w:rFonts w:hint="eastAsia" w:eastAsia="仿宋_GB2312"/>
          <w:sz w:val="32"/>
          <w:szCs w:val="32"/>
        </w:rPr>
        <w:t>查阅并核实，对所掌握的资料进行分析。</w:t>
      </w:r>
    </w:p>
    <w:p w14:paraId="3911E40A">
      <w:pPr>
        <w:widowControl w:val="0"/>
        <w:spacing w:line="560" w:lineRule="exact"/>
        <w:rPr>
          <w:rFonts w:eastAsia="仿宋_GB2312"/>
          <w:sz w:val="32"/>
          <w:szCs w:val="32"/>
        </w:rPr>
      </w:pPr>
      <w:r>
        <w:rPr>
          <w:rFonts w:hint="eastAsia" w:eastAsia="仿宋_GB2312"/>
          <w:sz w:val="32"/>
          <w:szCs w:val="32"/>
        </w:rPr>
        <w:t xml:space="preserve">   （2）访谈和调查。对各处室负责人等进行访谈，探讨部门决策、部门管理、部门履职、履职绩效、可持续发展能力等方面的亮点和不足。</w:t>
      </w:r>
    </w:p>
    <w:p w14:paraId="150B1E9B">
      <w:pPr>
        <w:widowControl w:val="0"/>
        <w:spacing w:line="560" w:lineRule="exact"/>
        <w:ind w:firstLine="640" w:firstLineChars="200"/>
        <w:rPr>
          <w:rFonts w:eastAsia="仿宋_GB2312"/>
          <w:sz w:val="32"/>
          <w:szCs w:val="32"/>
        </w:rPr>
      </w:pPr>
      <w:r>
        <w:rPr>
          <w:rFonts w:hint="eastAsia" w:eastAsia="仿宋_GB2312"/>
          <w:sz w:val="32"/>
          <w:szCs w:val="32"/>
        </w:rPr>
        <w:t>3.资料信息汇总及评价分析</w:t>
      </w:r>
    </w:p>
    <w:p w14:paraId="68E821F1">
      <w:pPr>
        <w:widowControl w:val="0"/>
        <w:spacing w:line="560" w:lineRule="exact"/>
        <w:ind w:firstLine="640" w:firstLineChars="200"/>
        <w:rPr>
          <w:rFonts w:eastAsia="仿宋_GB2312"/>
          <w:sz w:val="32"/>
          <w:szCs w:val="32"/>
        </w:rPr>
      </w:pPr>
      <w:r>
        <w:rPr>
          <w:rFonts w:hint="eastAsia" w:eastAsia="仿宋_GB2312"/>
          <w:sz w:val="32"/>
          <w:szCs w:val="32"/>
        </w:rPr>
        <w:t>汇总分析评价数据，依据制订的评价标准和打分规则，对管理局整体绩效进行分析以及量化打分。</w:t>
      </w:r>
    </w:p>
    <w:p w14:paraId="659B72C3">
      <w:pPr>
        <w:widowControl w:val="0"/>
        <w:spacing w:line="560" w:lineRule="exact"/>
        <w:ind w:firstLine="640" w:firstLineChars="200"/>
        <w:rPr>
          <w:rFonts w:eastAsia="仿宋_GB2312"/>
          <w:sz w:val="32"/>
          <w:szCs w:val="32"/>
        </w:rPr>
      </w:pPr>
      <w:r>
        <w:rPr>
          <w:rFonts w:hint="eastAsia" w:eastAsia="仿宋_GB2312"/>
          <w:sz w:val="32"/>
          <w:szCs w:val="32"/>
        </w:rPr>
        <w:t>4.出具报告</w:t>
      </w:r>
    </w:p>
    <w:p w14:paraId="648F285B">
      <w:pPr>
        <w:widowControl w:val="0"/>
        <w:overflowPunct/>
        <w:autoSpaceDE/>
        <w:autoSpaceDN/>
        <w:snapToGrid w:val="0"/>
        <w:spacing w:line="560" w:lineRule="exact"/>
        <w:ind w:firstLine="640" w:firstLineChars="200"/>
        <w:textAlignment w:val="auto"/>
        <w:rPr>
          <w:rFonts w:eastAsia="仿宋_GB2312"/>
          <w:sz w:val="32"/>
          <w:szCs w:val="32"/>
        </w:rPr>
      </w:pPr>
      <w:r>
        <w:rPr>
          <w:rFonts w:hint="eastAsia" w:eastAsia="仿宋_GB2312"/>
          <w:sz w:val="32"/>
          <w:szCs w:val="32"/>
        </w:rPr>
        <w:t>根据资料信息汇总及评价分析结果，出具正式绩效评价报告。</w:t>
      </w:r>
    </w:p>
    <w:p w14:paraId="14E3B471">
      <w:pPr>
        <w:widowControl w:val="0"/>
        <w:spacing w:line="560" w:lineRule="exact"/>
        <w:rPr>
          <w:rFonts w:eastAsia="仿宋_GB2312"/>
          <w:sz w:val="32"/>
          <w:szCs w:val="32"/>
        </w:rPr>
      </w:pPr>
    </w:p>
    <w:p w14:paraId="2D78441C">
      <w:pPr>
        <w:widowControl w:val="0"/>
        <w:overflowPunct/>
        <w:autoSpaceDE/>
        <w:autoSpaceDN/>
        <w:snapToGrid w:val="0"/>
        <w:spacing w:line="560" w:lineRule="exact"/>
        <w:ind w:firstLine="645"/>
        <w:textAlignment w:val="auto"/>
        <w:rPr>
          <w:rFonts w:eastAsia="仿宋_GB2312"/>
          <w:sz w:val="32"/>
          <w:szCs w:val="32"/>
        </w:rPr>
      </w:pPr>
      <w:r>
        <w:rPr>
          <w:rFonts w:hint="eastAsia" w:eastAsia="仿宋_GB2312"/>
          <w:sz w:val="32"/>
          <w:szCs w:val="32"/>
        </w:rPr>
        <w:t>附件：《南京市机关事务管理局2023年度部门整体绩效综合评价表》</w:t>
      </w:r>
    </w:p>
    <w:p w14:paraId="2B81B733">
      <w:pPr>
        <w:pStyle w:val="4"/>
        <w:rPr>
          <w:rFonts w:eastAsia="仿宋_GB2312"/>
          <w:sz w:val="32"/>
          <w:szCs w:val="32"/>
        </w:rPr>
      </w:pPr>
    </w:p>
    <w:p w14:paraId="1A57C8B3">
      <w:pPr>
        <w:pStyle w:val="4"/>
        <w:rPr>
          <w:rFonts w:eastAsia="仿宋_GB2312"/>
          <w:sz w:val="32"/>
          <w:szCs w:val="32"/>
        </w:rPr>
      </w:pPr>
    </w:p>
    <w:p w14:paraId="7EF39D8B">
      <w:pPr>
        <w:pStyle w:val="4"/>
        <w:rPr>
          <w:rFonts w:eastAsia="仿宋_GB2312"/>
          <w:sz w:val="32"/>
          <w:szCs w:val="32"/>
        </w:rPr>
      </w:pPr>
    </w:p>
    <w:p w14:paraId="0A924CA9">
      <w:pPr>
        <w:pStyle w:val="4"/>
        <w:rPr>
          <w:rFonts w:eastAsia="仿宋_GB2312"/>
          <w:sz w:val="32"/>
          <w:szCs w:val="32"/>
        </w:rPr>
      </w:pPr>
    </w:p>
    <w:p w14:paraId="0CE7A7F0">
      <w:pPr>
        <w:pStyle w:val="4"/>
        <w:rPr>
          <w:rFonts w:eastAsia="仿宋_GB2312"/>
          <w:sz w:val="32"/>
          <w:szCs w:val="32"/>
        </w:rPr>
      </w:pPr>
    </w:p>
    <w:p w14:paraId="5B6B162E">
      <w:pPr>
        <w:pStyle w:val="4"/>
        <w:rPr>
          <w:rFonts w:eastAsia="仿宋_GB2312"/>
          <w:sz w:val="32"/>
          <w:szCs w:val="32"/>
        </w:rPr>
      </w:pPr>
    </w:p>
    <w:p w14:paraId="7C7884F8">
      <w:pPr>
        <w:pStyle w:val="4"/>
        <w:rPr>
          <w:rFonts w:eastAsia="仿宋_GB2312"/>
          <w:sz w:val="32"/>
          <w:szCs w:val="32"/>
        </w:rPr>
      </w:pPr>
    </w:p>
    <w:p w14:paraId="05262A46">
      <w:pPr>
        <w:widowControl w:val="0"/>
        <w:overflowPunct/>
        <w:autoSpaceDE/>
        <w:autoSpaceDN/>
        <w:snapToGrid w:val="0"/>
        <w:spacing w:line="560" w:lineRule="exact"/>
        <w:ind w:firstLine="645"/>
        <w:textAlignment w:val="auto"/>
        <w:rPr>
          <w:rFonts w:ascii="仿宋" w:hAnsi="仿宋" w:eastAsia="仿宋" w:cs="仿宋_GB2312"/>
          <w:szCs w:val="21"/>
        </w:rPr>
      </w:pPr>
      <w:r>
        <w:rPr>
          <w:rFonts w:hint="eastAsia" w:ascii="仿宋" w:hAnsi="仿宋" w:eastAsia="仿宋" w:cs="仿宋_GB2312"/>
          <w:szCs w:val="21"/>
        </w:rPr>
        <w:t>附件：</w:t>
      </w:r>
    </w:p>
    <w:p w14:paraId="6DA8DF7E">
      <w:pPr>
        <w:widowControl w:val="0"/>
        <w:overflowPunct/>
        <w:autoSpaceDE/>
        <w:autoSpaceDN/>
        <w:snapToGrid w:val="0"/>
        <w:spacing w:line="560" w:lineRule="exact"/>
        <w:ind w:firstLine="645"/>
        <w:jc w:val="center"/>
        <w:textAlignment w:val="auto"/>
        <w:rPr>
          <w:rFonts w:ascii="仿宋" w:hAnsi="仿宋" w:eastAsia="仿宋"/>
          <w:szCs w:val="21"/>
        </w:rPr>
      </w:pPr>
      <w:r>
        <w:rPr>
          <w:rFonts w:hint="eastAsia" w:ascii="仿宋" w:hAnsi="仿宋" w:eastAsia="仿宋"/>
          <w:szCs w:val="21"/>
        </w:rPr>
        <w:t>南京市机关事务管理局2023年度部门整体绩效综合评价表</w:t>
      </w:r>
    </w:p>
    <w:p w14:paraId="52142774">
      <w:pPr>
        <w:pStyle w:val="4"/>
      </w:pPr>
      <w:r>
        <w:drawing>
          <wp:inline distT="0" distB="0" distL="0" distR="0">
            <wp:extent cx="5688330" cy="7439025"/>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srcRect/>
                    <a:stretch>
                      <a:fillRect/>
                    </a:stretch>
                  </pic:blipFill>
                  <pic:spPr>
                    <a:xfrm>
                      <a:off x="0" y="0"/>
                      <a:ext cx="5688330" cy="7439025"/>
                    </a:xfrm>
                    <a:prstGeom prst="rect">
                      <a:avLst/>
                    </a:prstGeom>
                    <a:noFill/>
                    <a:ln w="9525">
                      <a:noFill/>
                      <a:miter lim="800000"/>
                      <a:headEnd/>
                      <a:tailEnd/>
                    </a:ln>
                  </pic:spPr>
                </pic:pic>
              </a:graphicData>
            </a:graphic>
          </wp:inline>
        </w:drawing>
      </w:r>
    </w:p>
    <w:p w14:paraId="6B174725">
      <w:pPr>
        <w:widowControl w:val="0"/>
        <w:overflowPunct/>
        <w:autoSpaceDE/>
        <w:autoSpaceDN/>
        <w:snapToGrid w:val="0"/>
        <w:spacing w:line="560" w:lineRule="exact"/>
        <w:ind w:firstLine="645"/>
        <w:textAlignment w:val="auto"/>
        <w:rPr>
          <w:rFonts w:hint="eastAsia"/>
          <w:szCs w:val="32"/>
        </w:rPr>
      </w:pPr>
      <w:r>
        <w:rPr>
          <w:rFonts w:hint="eastAsia"/>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24765</wp:posOffset>
            </wp:positionV>
            <wp:extent cx="5915025" cy="8039100"/>
            <wp:effectExtent l="1905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srcRect/>
                    <a:stretch>
                      <a:fillRect/>
                    </a:stretch>
                  </pic:blipFill>
                  <pic:spPr>
                    <a:xfrm>
                      <a:off x="0" y="0"/>
                      <a:ext cx="5915025" cy="8039100"/>
                    </a:xfrm>
                    <a:prstGeom prst="rect">
                      <a:avLst/>
                    </a:prstGeom>
                    <a:noFill/>
                    <a:ln w="9525">
                      <a:noFill/>
                      <a:miter lim="800000"/>
                      <a:headEnd/>
                      <a:tailEnd/>
                    </a:ln>
                  </pic:spPr>
                </pic:pic>
              </a:graphicData>
            </a:graphic>
          </wp:anchor>
        </w:drawing>
      </w:r>
    </w:p>
    <w:p w14:paraId="36BEA2B4">
      <w:pPr>
        <w:widowControl w:val="0"/>
        <w:overflowPunct/>
        <w:autoSpaceDE/>
        <w:autoSpaceDN/>
        <w:snapToGrid w:val="0"/>
        <w:spacing w:line="560" w:lineRule="exact"/>
        <w:ind w:firstLine="645"/>
        <w:textAlignment w:val="auto"/>
        <w:rPr>
          <w:szCs w:val="32"/>
        </w:rPr>
      </w:pPr>
    </w:p>
    <w:p w14:paraId="6A0D41DC">
      <w:pPr>
        <w:pStyle w:val="4"/>
        <w:spacing w:line="560" w:lineRule="exact"/>
        <w:rPr>
          <w:rFonts w:hint="eastAsia"/>
        </w:rPr>
      </w:pPr>
    </w:p>
    <w:p w14:paraId="74C86AE6">
      <w:pPr>
        <w:pStyle w:val="4"/>
        <w:spacing w:line="560" w:lineRule="exact"/>
        <w:rPr>
          <w:rFonts w:hint="eastAsia"/>
        </w:rPr>
      </w:pPr>
    </w:p>
    <w:p w14:paraId="677ECB38">
      <w:pPr>
        <w:pStyle w:val="4"/>
        <w:spacing w:line="560" w:lineRule="exact"/>
        <w:rPr>
          <w:rFonts w:hint="eastAsia"/>
        </w:rPr>
      </w:pPr>
    </w:p>
    <w:p w14:paraId="2190EAB0">
      <w:pPr>
        <w:pStyle w:val="4"/>
        <w:spacing w:line="560" w:lineRule="exact"/>
        <w:rPr>
          <w:rFonts w:hint="eastAsia"/>
        </w:rPr>
      </w:pPr>
    </w:p>
    <w:p w14:paraId="60CF06D0">
      <w:pPr>
        <w:pStyle w:val="4"/>
        <w:spacing w:line="560" w:lineRule="exact"/>
        <w:rPr>
          <w:rFonts w:hint="eastAsia"/>
        </w:rPr>
      </w:pPr>
    </w:p>
    <w:p w14:paraId="258ED92F">
      <w:pPr>
        <w:pStyle w:val="4"/>
        <w:spacing w:line="560" w:lineRule="exact"/>
        <w:rPr>
          <w:rFonts w:hint="eastAsia"/>
        </w:rPr>
      </w:pPr>
    </w:p>
    <w:p w14:paraId="5F329560">
      <w:pPr>
        <w:pStyle w:val="4"/>
        <w:spacing w:line="560" w:lineRule="exact"/>
        <w:rPr>
          <w:rFonts w:hint="eastAsia"/>
        </w:rPr>
      </w:pPr>
    </w:p>
    <w:p w14:paraId="5959E91D">
      <w:pPr>
        <w:pStyle w:val="4"/>
        <w:spacing w:line="560" w:lineRule="exact"/>
        <w:rPr>
          <w:rFonts w:hint="eastAsia"/>
        </w:rPr>
      </w:pPr>
    </w:p>
    <w:p w14:paraId="63E3CDCD">
      <w:pPr>
        <w:pStyle w:val="4"/>
        <w:spacing w:line="560" w:lineRule="exact"/>
        <w:rPr>
          <w:rFonts w:hint="eastAsia"/>
        </w:rPr>
      </w:pPr>
    </w:p>
    <w:p w14:paraId="10BE2A25">
      <w:pPr>
        <w:pStyle w:val="4"/>
        <w:spacing w:line="560" w:lineRule="exact"/>
        <w:rPr>
          <w:rFonts w:hint="eastAsia"/>
        </w:rPr>
      </w:pPr>
    </w:p>
    <w:p w14:paraId="25BDE0CD">
      <w:pPr>
        <w:pStyle w:val="4"/>
        <w:spacing w:line="560" w:lineRule="exact"/>
        <w:rPr>
          <w:rFonts w:hint="eastAsia"/>
        </w:rPr>
      </w:pPr>
    </w:p>
    <w:p w14:paraId="023AB514">
      <w:pPr>
        <w:pStyle w:val="4"/>
        <w:spacing w:line="560" w:lineRule="exact"/>
        <w:rPr>
          <w:rFonts w:hint="eastAsia"/>
        </w:rPr>
      </w:pPr>
    </w:p>
    <w:p w14:paraId="2983179E">
      <w:pPr>
        <w:pStyle w:val="4"/>
        <w:spacing w:line="560" w:lineRule="exact"/>
        <w:rPr>
          <w:rFonts w:hint="eastAsia"/>
        </w:rPr>
      </w:pPr>
    </w:p>
    <w:p w14:paraId="1CB8AE7D">
      <w:pPr>
        <w:pStyle w:val="4"/>
        <w:spacing w:line="560" w:lineRule="exact"/>
        <w:rPr>
          <w:rFonts w:hint="eastAsia"/>
        </w:rPr>
      </w:pPr>
    </w:p>
    <w:p w14:paraId="489E7BE6">
      <w:pPr>
        <w:pStyle w:val="4"/>
        <w:spacing w:line="560" w:lineRule="exact"/>
        <w:rPr>
          <w:rFonts w:hint="eastAsia"/>
        </w:rPr>
      </w:pPr>
    </w:p>
    <w:p w14:paraId="4EC20096">
      <w:pPr>
        <w:pStyle w:val="4"/>
        <w:spacing w:line="560" w:lineRule="exact"/>
        <w:rPr>
          <w:rFonts w:hint="eastAsia"/>
        </w:rPr>
      </w:pPr>
    </w:p>
    <w:p w14:paraId="2E229102">
      <w:pPr>
        <w:pStyle w:val="4"/>
        <w:spacing w:line="560" w:lineRule="exact"/>
        <w:rPr>
          <w:rFonts w:hint="eastAsia"/>
        </w:rPr>
      </w:pPr>
    </w:p>
    <w:p w14:paraId="2424DF23">
      <w:pPr>
        <w:pStyle w:val="4"/>
        <w:spacing w:line="560" w:lineRule="exact"/>
        <w:rPr>
          <w:rFonts w:hint="eastAsia"/>
        </w:rPr>
      </w:pPr>
    </w:p>
    <w:p w14:paraId="1F8EE87E">
      <w:pPr>
        <w:pStyle w:val="4"/>
        <w:spacing w:line="560" w:lineRule="exact"/>
        <w:rPr>
          <w:rFonts w:hint="eastAsia"/>
        </w:rPr>
      </w:pPr>
      <w:r>
        <w:rPr>
          <w:rFonts w:hint="eastAsia"/>
        </w:rPr>
        <w:drawing>
          <wp:anchor distT="0" distB="0" distL="114300" distR="114300" simplePos="0" relativeHeight="251660288" behindDoc="0" locked="0" layoutInCell="1" allowOverlap="1">
            <wp:simplePos x="0" y="0"/>
            <wp:positionH relativeFrom="column">
              <wp:posOffset>-50165</wp:posOffset>
            </wp:positionH>
            <wp:positionV relativeFrom="paragraph">
              <wp:posOffset>81280</wp:posOffset>
            </wp:positionV>
            <wp:extent cx="5688330" cy="8448675"/>
            <wp:effectExtent l="19050" t="0" r="7620" b="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7" cstate="print"/>
                    <a:srcRect/>
                    <a:stretch>
                      <a:fillRect/>
                    </a:stretch>
                  </pic:blipFill>
                  <pic:spPr>
                    <a:xfrm>
                      <a:off x="0" y="0"/>
                      <a:ext cx="5688330" cy="8448675"/>
                    </a:xfrm>
                    <a:prstGeom prst="rect">
                      <a:avLst/>
                    </a:prstGeom>
                    <a:noFill/>
                    <a:ln w="9525">
                      <a:noFill/>
                      <a:miter lim="800000"/>
                      <a:headEnd/>
                      <a:tailEnd/>
                    </a:ln>
                  </pic:spPr>
                </pic:pic>
              </a:graphicData>
            </a:graphic>
          </wp:anchor>
        </w:drawing>
      </w:r>
    </w:p>
    <w:p w14:paraId="60A4D2CD">
      <w:pPr>
        <w:pStyle w:val="4"/>
        <w:spacing w:line="560" w:lineRule="exact"/>
      </w:pPr>
    </w:p>
    <w:sectPr>
      <w:footerReference r:id="rId3" w:type="default"/>
      <w:pgSz w:w="11906" w:h="16838"/>
      <w:pgMar w:top="1701" w:right="1474" w:bottom="1701"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805026"/>
    </w:sdtPr>
    <w:sdtContent>
      <w:p w14:paraId="3E09DA4A">
        <w:pPr>
          <w:pStyle w:val="6"/>
          <w:jc w:val="center"/>
        </w:pPr>
        <w:r>
          <w:fldChar w:fldCharType="begin"/>
        </w:r>
        <w:r>
          <w:instrText xml:space="preserve">PAGE   \* MERGEFORMAT</w:instrText>
        </w:r>
        <w:r>
          <w:fldChar w:fldCharType="separate"/>
        </w:r>
        <w:r>
          <w:rPr>
            <w:lang w:val="zh-CN"/>
          </w:rPr>
          <w:t>8</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2EF31"/>
    <w:multiLevelType w:val="singleLevel"/>
    <w:tmpl w:val="CDC2EF31"/>
    <w:lvl w:ilvl="0" w:tentative="0">
      <w:start w:val="3"/>
      <w:numFmt w:val="decimal"/>
      <w:suff w:val="space"/>
      <w:lvlText w:val="%1."/>
      <w:lvlJc w:val="left"/>
    </w:lvl>
  </w:abstractNum>
  <w:abstractNum w:abstractNumId="1">
    <w:nsid w:val="D6F24069"/>
    <w:multiLevelType w:val="singleLevel"/>
    <w:tmpl w:val="D6F24069"/>
    <w:lvl w:ilvl="0" w:tentative="0">
      <w:start w:val="8"/>
      <w:numFmt w:val="chineseCounting"/>
      <w:suff w:val="nothing"/>
      <w:lvlText w:val="（%1）"/>
      <w:lvlJc w:val="left"/>
      <w:rPr>
        <w:rFonts w:hint="eastAsia"/>
      </w:rPr>
    </w:lvl>
  </w:abstractNum>
  <w:abstractNum w:abstractNumId="2">
    <w:nsid w:val="38555CD7"/>
    <w:multiLevelType w:val="singleLevel"/>
    <w:tmpl w:val="38555CD7"/>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kYWIzOGQ4ODBkMzgwNDE5MDZiOTNjNmEyNDczMDQifQ=="/>
  </w:docVars>
  <w:rsids>
    <w:rsidRoot w:val="2A140BDB"/>
    <w:rsid w:val="0002080B"/>
    <w:rsid w:val="00023D23"/>
    <w:rsid w:val="00033D05"/>
    <w:rsid w:val="00035489"/>
    <w:rsid w:val="000500A1"/>
    <w:rsid w:val="00056784"/>
    <w:rsid w:val="00060FAA"/>
    <w:rsid w:val="000A7294"/>
    <w:rsid w:val="000B6A68"/>
    <w:rsid w:val="000C0AE3"/>
    <w:rsid w:val="000C33BD"/>
    <w:rsid w:val="000E78D2"/>
    <w:rsid w:val="000F3BB6"/>
    <w:rsid w:val="000F5645"/>
    <w:rsid w:val="001231CC"/>
    <w:rsid w:val="0012557B"/>
    <w:rsid w:val="0013075B"/>
    <w:rsid w:val="00137DE9"/>
    <w:rsid w:val="00147135"/>
    <w:rsid w:val="00153A91"/>
    <w:rsid w:val="00156F6B"/>
    <w:rsid w:val="001570FF"/>
    <w:rsid w:val="00163FD5"/>
    <w:rsid w:val="00171F49"/>
    <w:rsid w:val="001B3E13"/>
    <w:rsid w:val="001B51E1"/>
    <w:rsid w:val="001C6B07"/>
    <w:rsid w:val="001D0FC6"/>
    <w:rsid w:val="001D438D"/>
    <w:rsid w:val="001E0F70"/>
    <w:rsid w:val="002269A5"/>
    <w:rsid w:val="00227F28"/>
    <w:rsid w:val="0023786F"/>
    <w:rsid w:val="00240931"/>
    <w:rsid w:val="00264411"/>
    <w:rsid w:val="00287DCE"/>
    <w:rsid w:val="002970D8"/>
    <w:rsid w:val="002A3B8E"/>
    <w:rsid w:val="002B78CC"/>
    <w:rsid w:val="002D2147"/>
    <w:rsid w:val="002D2BC0"/>
    <w:rsid w:val="002F191D"/>
    <w:rsid w:val="00315B30"/>
    <w:rsid w:val="00315F94"/>
    <w:rsid w:val="0032154E"/>
    <w:rsid w:val="0032256F"/>
    <w:rsid w:val="00326AA7"/>
    <w:rsid w:val="00370905"/>
    <w:rsid w:val="003857A8"/>
    <w:rsid w:val="003A6C40"/>
    <w:rsid w:val="003C546B"/>
    <w:rsid w:val="003D58F0"/>
    <w:rsid w:val="003E0CCA"/>
    <w:rsid w:val="003E27E7"/>
    <w:rsid w:val="003F2E2D"/>
    <w:rsid w:val="003F4E67"/>
    <w:rsid w:val="003F5028"/>
    <w:rsid w:val="003F5817"/>
    <w:rsid w:val="0040743B"/>
    <w:rsid w:val="00411964"/>
    <w:rsid w:val="00411FC2"/>
    <w:rsid w:val="0042187D"/>
    <w:rsid w:val="004238D7"/>
    <w:rsid w:val="0044206E"/>
    <w:rsid w:val="004452B2"/>
    <w:rsid w:val="004463DD"/>
    <w:rsid w:val="004541C8"/>
    <w:rsid w:val="00495226"/>
    <w:rsid w:val="004D3024"/>
    <w:rsid w:val="004D3934"/>
    <w:rsid w:val="004D7F83"/>
    <w:rsid w:val="004E2416"/>
    <w:rsid w:val="004E4DB9"/>
    <w:rsid w:val="004E596F"/>
    <w:rsid w:val="005245FA"/>
    <w:rsid w:val="0052702B"/>
    <w:rsid w:val="00534837"/>
    <w:rsid w:val="00546CA2"/>
    <w:rsid w:val="00552A38"/>
    <w:rsid w:val="00572C76"/>
    <w:rsid w:val="005B417C"/>
    <w:rsid w:val="005B5D18"/>
    <w:rsid w:val="005E6544"/>
    <w:rsid w:val="005F3626"/>
    <w:rsid w:val="00607541"/>
    <w:rsid w:val="00654573"/>
    <w:rsid w:val="00655515"/>
    <w:rsid w:val="00684DF0"/>
    <w:rsid w:val="006A5D19"/>
    <w:rsid w:val="006B120F"/>
    <w:rsid w:val="006B794B"/>
    <w:rsid w:val="006D3501"/>
    <w:rsid w:val="00701089"/>
    <w:rsid w:val="007047F5"/>
    <w:rsid w:val="0070583E"/>
    <w:rsid w:val="00713425"/>
    <w:rsid w:val="00716D06"/>
    <w:rsid w:val="00720E6C"/>
    <w:rsid w:val="00744F44"/>
    <w:rsid w:val="0077428C"/>
    <w:rsid w:val="00777A1F"/>
    <w:rsid w:val="0078151B"/>
    <w:rsid w:val="00785B96"/>
    <w:rsid w:val="007878D2"/>
    <w:rsid w:val="007929A6"/>
    <w:rsid w:val="00797CA5"/>
    <w:rsid w:val="007B1026"/>
    <w:rsid w:val="007B5DD2"/>
    <w:rsid w:val="007C2B8F"/>
    <w:rsid w:val="007C5A7A"/>
    <w:rsid w:val="007C7973"/>
    <w:rsid w:val="007F2E33"/>
    <w:rsid w:val="007F79D8"/>
    <w:rsid w:val="00806EFA"/>
    <w:rsid w:val="00807611"/>
    <w:rsid w:val="00877E2A"/>
    <w:rsid w:val="0089207F"/>
    <w:rsid w:val="008A1245"/>
    <w:rsid w:val="008A776B"/>
    <w:rsid w:val="008B2739"/>
    <w:rsid w:val="008E5901"/>
    <w:rsid w:val="00907329"/>
    <w:rsid w:val="0092564A"/>
    <w:rsid w:val="00932C1D"/>
    <w:rsid w:val="009564B9"/>
    <w:rsid w:val="00961F24"/>
    <w:rsid w:val="00962BDC"/>
    <w:rsid w:val="0098172D"/>
    <w:rsid w:val="0098331D"/>
    <w:rsid w:val="00987EB3"/>
    <w:rsid w:val="009C137A"/>
    <w:rsid w:val="009C45D1"/>
    <w:rsid w:val="00A206CD"/>
    <w:rsid w:val="00A301E4"/>
    <w:rsid w:val="00A37518"/>
    <w:rsid w:val="00A53096"/>
    <w:rsid w:val="00A53D5C"/>
    <w:rsid w:val="00A570B8"/>
    <w:rsid w:val="00A6744B"/>
    <w:rsid w:val="00A676C3"/>
    <w:rsid w:val="00A67E62"/>
    <w:rsid w:val="00A706C8"/>
    <w:rsid w:val="00A7600C"/>
    <w:rsid w:val="00A9171C"/>
    <w:rsid w:val="00AC6EDA"/>
    <w:rsid w:val="00AD1395"/>
    <w:rsid w:val="00AD7C66"/>
    <w:rsid w:val="00AE59D7"/>
    <w:rsid w:val="00AE7639"/>
    <w:rsid w:val="00B0182E"/>
    <w:rsid w:val="00B040AE"/>
    <w:rsid w:val="00B10C67"/>
    <w:rsid w:val="00B169FF"/>
    <w:rsid w:val="00B16B25"/>
    <w:rsid w:val="00B355F4"/>
    <w:rsid w:val="00B361E3"/>
    <w:rsid w:val="00B46BCA"/>
    <w:rsid w:val="00B47A7C"/>
    <w:rsid w:val="00B51640"/>
    <w:rsid w:val="00B7122A"/>
    <w:rsid w:val="00B72C20"/>
    <w:rsid w:val="00B822B0"/>
    <w:rsid w:val="00B91AC7"/>
    <w:rsid w:val="00B97AA2"/>
    <w:rsid w:val="00BA580E"/>
    <w:rsid w:val="00BB0849"/>
    <w:rsid w:val="00BC4E40"/>
    <w:rsid w:val="00BD13F0"/>
    <w:rsid w:val="00BE5B61"/>
    <w:rsid w:val="00BF4BB3"/>
    <w:rsid w:val="00BF5A62"/>
    <w:rsid w:val="00BF6583"/>
    <w:rsid w:val="00C00AA0"/>
    <w:rsid w:val="00C06981"/>
    <w:rsid w:val="00C07636"/>
    <w:rsid w:val="00C31EA0"/>
    <w:rsid w:val="00C53C36"/>
    <w:rsid w:val="00C554FD"/>
    <w:rsid w:val="00C66494"/>
    <w:rsid w:val="00C9451F"/>
    <w:rsid w:val="00C975AC"/>
    <w:rsid w:val="00CB2C9C"/>
    <w:rsid w:val="00CB7250"/>
    <w:rsid w:val="00CC2B7E"/>
    <w:rsid w:val="00CD257F"/>
    <w:rsid w:val="00CE4EE7"/>
    <w:rsid w:val="00CE7BC8"/>
    <w:rsid w:val="00D07E59"/>
    <w:rsid w:val="00D10907"/>
    <w:rsid w:val="00D175D9"/>
    <w:rsid w:val="00D17C94"/>
    <w:rsid w:val="00D20CB2"/>
    <w:rsid w:val="00D31173"/>
    <w:rsid w:val="00D31A2C"/>
    <w:rsid w:val="00D436AB"/>
    <w:rsid w:val="00D572C0"/>
    <w:rsid w:val="00D705C1"/>
    <w:rsid w:val="00D7790E"/>
    <w:rsid w:val="00DB10D2"/>
    <w:rsid w:val="00DB280F"/>
    <w:rsid w:val="00DB3A2F"/>
    <w:rsid w:val="00DB500C"/>
    <w:rsid w:val="00DD55E0"/>
    <w:rsid w:val="00DD62E9"/>
    <w:rsid w:val="00DF75C4"/>
    <w:rsid w:val="00E13968"/>
    <w:rsid w:val="00E37457"/>
    <w:rsid w:val="00E4285C"/>
    <w:rsid w:val="00E54A5D"/>
    <w:rsid w:val="00E82B74"/>
    <w:rsid w:val="00EC0C88"/>
    <w:rsid w:val="00EC10FB"/>
    <w:rsid w:val="00F00EC2"/>
    <w:rsid w:val="00F1119A"/>
    <w:rsid w:val="00F115E0"/>
    <w:rsid w:val="00F13561"/>
    <w:rsid w:val="00F25355"/>
    <w:rsid w:val="00F72D05"/>
    <w:rsid w:val="00F74161"/>
    <w:rsid w:val="00F763B8"/>
    <w:rsid w:val="00F768FB"/>
    <w:rsid w:val="00F80D8B"/>
    <w:rsid w:val="00FA7ADD"/>
    <w:rsid w:val="00FB2D5B"/>
    <w:rsid w:val="00FB3950"/>
    <w:rsid w:val="00FC50B6"/>
    <w:rsid w:val="00FF4571"/>
    <w:rsid w:val="01091C05"/>
    <w:rsid w:val="010F49DF"/>
    <w:rsid w:val="01264FE9"/>
    <w:rsid w:val="014B44F6"/>
    <w:rsid w:val="017460A8"/>
    <w:rsid w:val="01A4014E"/>
    <w:rsid w:val="01B24106"/>
    <w:rsid w:val="01CB2E36"/>
    <w:rsid w:val="01CC1A40"/>
    <w:rsid w:val="01DD20EC"/>
    <w:rsid w:val="01DF24E6"/>
    <w:rsid w:val="01E41D52"/>
    <w:rsid w:val="02314EAA"/>
    <w:rsid w:val="027125E7"/>
    <w:rsid w:val="029C1412"/>
    <w:rsid w:val="02B86095"/>
    <w:rsid w:val="02CE515F"/>
    <w:rsid w:val="02E006AC"/>
    <w:rsid w:val="02ED1C6E"/>
    <w:rsid w:val="02F0175E"/>
    <w:rsid w:val="02F87F95"/>
    <w:rsid w:val="03053E30"/>
    <w:rsid w:val="032A2EC2"/>
    <w:rsid w:val="03394EB3"/>
    <w:rsid w:val="039D0572"/>
    <w:rsid w:val="03B94B5C"/>
    <w:rsid w:val="040000C7"/>
    <w:rsid w:val="04892E54"/>
    <w:rsid w:val="04CD6C68"/>
    <w:rsid w:val="050B12EA"/>
    <w:rsid w:val="050E1D0F"/>
    <w:rsid w:val="052C62E6"/>
    <w:rsid w:val="05B661F2"/>
    <w:rsid w:val="05C0366A"/>
    <w:rsid w:val="05D621F8"/>
    <w:rsid w:val="06122BE4"/>
    <w:rsid w:val="062956B3"/>
    <w:rsid w:val="067759EA"/>
    <w:rsid w:val="06941C32"/>
    <w:rsid w:val="07CC279A"/>
    <w:rsid w:val="08032C30"/>
    <w:rsid w:val="08935065"/>
    <w:rsid w:val="08DA6B0E"/>
    <w:rsid w:val="09376339"/>
    <w:rsid w:val="094F4F07"/>
    <w:rsid w:val="0A2B2EE4"/>
    <w:rsid w:val="0A4A4017"/>
    <w:rsid w:val="0AD61B81"/>
    <w:rsid w:val="0B2E5519"/>
    <w:rsid w:val="0B5C3E34"/>
    <w:rsid w:val="0B794B84"/>
    <w:rsid w:val="0B7C44D7"/>
    <w:rsid w:val="0B932AD5"/>
    <w:rsid w:val="0BA650B0"/>
    <w:rsid w:val="0BAB08D0"/>
    <w:rsid w:val="0BB974D9"/>
    <w:rsid w:val="0BC263E3"/>
    <w:rsid w:val="0BFD1C00"/>
    <w:rsid w:val="0C525237"/>
    <w:rsid w:val="0C7B478E"/>
    <w:rsid w:val="0C8C699B"/>
    <w:rsid w:val="0C9422A9"/>
    <w:rsid w:val="0CAE2998"/>
    <w:rsid w:val="0CAF5694"/>
    <w:rsid w:val="0DB55A04"/>
    <w:rsid w:val="0DC840D0"/>
    <w:rsid w:val="0E2055ED"/>
    <w:rsid w:val="0E3C1CFB"/>
    <w:rsid w:val="0E996591"/>
    <w:rsid w:val="0F2F6501"/>
    <w:rsid w:val="0F5445FA"/>
    <w:rsid w:val="0FB82F1F"/>
    <w:rsid w:val="0FD2172E"/>
    <w:rsid w:val="104D6BCE"/>
    <w:rsid w:val="105E41AB"/>
    <w:rsid w:val="1121761E"/>
    <w:rsid w:val="116D4EB2"/>
    <w:rsid w:val="1178129C"/>
    <w:rsid w:val="11A9487A"/>
    <w:rsid w:val="11AA68BD"/>
    <w:rsid w:val="11E46932"/>
    <w:rsid w:val="12011447"/>
    <w:rsid w:val="121E4FC7"/>
    <w:rsid w:val="122B4561"/>
    <w:rsid w:val="123D3F35"/>
    <w:rsid w:val="129D1771"/>
    <w:rsid w:val="12AE39E4"/>
    <w:rsid w:val="13280AA0"/>
    <w:rsid w:val="135A334F"/>
    <w:rsid w:val="13873A19"/>
    <w:rsid w:val="142B3BC0"/>
    <w:rsid w:val="14586CE5"/>
    <w:rsid w:val="14661880"/>
    <w:rsid w:val="14B4083D"/>
    <w:rsid w:val="14CA0061"/>
    <w:rsid w:val="14F50E56"/>
    <w:rsid w:val="14FD7780"/>
    <w:rsid w:val="1522319E"/>
    <w:rsid w:val="153B2D0D"/>
    <w:rsid w:val="157D60E1"/>
    <w:rsid w:val="15C471A6"/>
    <w:rsid w:val="1617214C"/>
    <w:rsid w:val="16E57B9B"/>
    <w:rsid w:val="177D53E4"/>
    <w:rsid w:val="17AE418C"/>
    <w:rsid w:val="17BB0135"/>
    <w:rsid w:val="183C16E6"/>
    <w:rsid w:val="18974B72"/>
    <w:rsid w:val="18CB61AC"/>
    <w:rsid w:val="18E87059"/>
    <w:rsid w:val="18FC2B3B"/>
    <w:rsid w:val="197D7D98"/>
    <w:rsid w:val="19C21C4E"/>
    <w:rsid w:val="1A092872"/>
    <w:rsid w:val="1A1911FD"/>
    <w:rsid w:val="1A3348FA"/>
    <w:rsid w:val="1A8567D8"/>
    <w:rsid w:val="1B19247D"/>
    <w:rsid w:val="1BD21EF1"/>
    <w:rsid w:val="1C5E185E"/>
    <w:rsid w:val="1C76287C"/>
    <w:rsid w:val="1CB533A4"/>
    <w:rsid w:val="1CCE6BA8"/>
    <w:rsid w:val="1D014DE9"/>
    <w:rsid w:val="1D29454B"/>
    <w:rsid w:val="1D6D3C7F"/>
    <w:rsid w:val="1D744EA5"/>
    <w:rsid w:val="1D8C65A7"/>
    <w:rsid w:val="1DA371EB"/>
    <w:rsid w:val="1E7D4BE1"/>
    <w:rsid w:val="1E8C67A1"/>
    <w:rsid w:val="1EAE5BB2"/>
    <w:rsid w:val="1F0C571A"/>
    <w:rsid w:val="1F152820"/>
    <w:rsid w:val="1F323A1C"/>
    <w:rsid w:val="1F60475F"/>
    <w:rsid w:val="1F6B41EE"/>
    <w:rsid w:val="1F6D5E40"/>
    <w:rsid w:val="1F9714CC"/>
    <w:rsid w:val="1FEA4538"/>
    <w:rsid w:val="203E7B55"/>
    <w:rsid w:val="207F7145"/>
    <w:rsid w:val="20AB2A04"/>
    <w:rsid w:val="20AD4032"/>
    <w:rsid w:val="20EF0E4F"/>
    <w:rsid w:val="20FB6BAE"/>
    <w:rsid w:val="212C2CF1"/>
    <w:rsid w:val="21313216"/>
    <w:rsid w:val="216E5AC0"/>
    <w:rsid w:val="21BB3F12"/>
    <w:rsid w:val="2203448C"/>
    <w:rsid w:val="22394A78"/>
    <w:rsid w:val="226118D9"/>
    <w:rsid w:val="229D010B"/>
    <w:rsid w:val="22D567C1"/>
    <w:rsid w:val="23024E6A"/>
    <w:rsid w:val="23145024"/>
    <w:rsid w:val="23264752"/>
    <w:rsid w:val="232A3D84"/>
    <w:rsid w:val="240E6E96"/>
    <w:rsid w:val="24353C64"/>
    <w:rsid w:val="24912949"/>
    <w:rsid w:val="249F7659"/>
    <w:rsid w:val="24C34ACD"/>
    <w:rsid w:val="24EB5EEF"/>
    <w:rsid w:val="24ED38F7"/>
    <w:rsid w:val="25196239"/>
    <w:rsid w:val="25592D3B"/>
    <w:rsid w:val="257638ED"/>
    <w:rsid w:val="25F56F08"/>
    <w:rsid w:val="261F21D6"/>
    <w:rsid w:val="26DA4ABE"/>
    <w:rsid w:val="27221F7E"/>
    <w:rsid w:val="27743E5C"/>
    <w:rsid w:val="27CA41EF"/>
    <w:rsid w:val="27DF1FEC"/>
    <w:rsid w:val="28416434"/>
    <w:rsid w:val="286D4EBB"/>
    <w:rsid w:val="288E455E"/>
    <w:rsid w:val="28CD7E9B"/>
    <w:rsid w:val="28D151AB"/>
    <w:rsid w:val="290556B4"/>
    <w:rsid w:val="294066EC"/>
    <w:rsid w:val="29746395"/>
    <w:rsid w:val="29993930"/>
    <w:rsid w:val="2A140BDB"/>
    <w:rsid w:val="2A224803"/>
    <w:rsid w:val="2A680314"/>
    <w:rsid w:val="2A686A33"/>
    <w:rsid w:val="2B1B19E7"/>
    <w:rsid w:val="2B1C6CE5"/>
    <w:rsid w:val="2B342280"/>
    <w:rsid w:val="2BBE01D2"/>
    <w:rsid w:val="2BE9306B"/>
    <w:rsid w:val="2C5027BE"/>
    <w:rsid w:val="2C9014F6"/>
    <w:rsid w:val="2C9A6B6A"/>
    <w:rsid w:val="2CBC12E2"/>
    <w:rsid w:val="2CC01BCF"/>
    <w:rsid w:val="2CCB09C2"/>
    <w:rsid w:val="2D2A0E71"/>
    <w:rsid w:val="2D431AC4"/>
    <w:rsid w:val="2DC75081"/>
    <w:rsid w:val="2E07032E"/>
    <w:rsid w:val="2E0D283D"/>
    <w:rsid w:val="2E231E68"/>
    <w:rsid w:val="2E275823"/>
    <w:rsid w:val="2E6A5D3B"/>
    <w:rsid w:val="2E821554"/>
    <w:rsid w:val="2EBF6305"/>
    <w:rsid w:val="2ECD0A22"/>
    <w:rsid w:val="2ED0406E"/>
    <w:rsid w:val="2F097580"/>
    <w:rsid w:val="2F124AB8"/>
    <w:rsid w:val="2F446D3C"/>
    <w:rsid w:val="2F5B3428"/>
    <w:rsid w:val="2FF91D05"/>
    <w:rsid w:val="30413D8E"/>
    <w:rsid w:val="30A8351A"/>
    <w:rsid w:val="314F41F1"/>
    <w:rsid w:val="315C7E3B"/>
    <w:rsid w:val="31A107C7"/>
    <w:rsid w:val="31C0661C"/>
    <w:rsid w:val="31CA7917"/>
    <w:rsid w:val="31D70A87"/>
    <w:rsid w:val="31E6015C"/>
    <w:rsid w:val="320D471C"/>
    <w:rsid w:val="321757F9"/>
    <w:rsid w:val="32293921"/>
    <w:rsid w:val="32582DE6"/>
    <w:rsid w:val="32723F14"/>
    <w:rsid w:val="32947E0A"/>
    <w:rsid w:val="32AB7C9E"/>
    <w:rsid w:val="32BD1EA0"/>
    <w:rsid w:val="32F82A2F"/>
    <w:rsid w:val="337E1884"/>
    <w:rsid w:val="33AE4FBC"/>
    <w:rsid w:val="34A46017"/>
    <w:rsid w:val="34C73291"/>
    <w:rsid w:val="351E17AF"/>
    <w:rsid w:val="352D174B"/>
    <w:rsid w:val="35633E8E"/>
    <w:rsid w:val="357C4F4F"/>
    <w:rsid w:val="36983B6B"/>
    <w:rsid w:val="370C4723"/>
    <w:rsid w:val="37843D44"/>
    <w:rsid w:val="37863E63"/>
    <w:rsid w:val="37C8447C"/>
    <w:rsid w:val="37CD1A92"/>
    <w:rsid w:val="381A3A5C"/>
    <w:rsid w:val="382475A2"/>
    <w:rsid w:val="382F44FB"/>
    <w:rsid w:val="38374825"/>
    <w:rsid w:val="38390ED6"/>
    <w:rsid w:val="38B844F1"/>
    <w:rsid w:val="38B93DC5"/>
    <w:rsid w:val="38C42E95"/>
    <w:rsid w:val="38ED402E"/>
    <w:rsid w:val="39010DF5"/>
    <w:rsid w:val="39311BAD"/>
    <w:rsid w:val="39317DFF"/>
    <w:rsid w:val="39423DBA"/>
    <w:rsid w:val="3984377B"/>
    <w:rsid w:val="399C171C"/>
    <w:rsid w:val="39A23C12"/>
    <w:rsid w:val="3A4B6813"/>
    <w:rsid w:val="3AF410E4"/>
    <w:rsid w:val="3AF64F2B"/>
    <w:rsid w:val="3B0D7E7D"/>
    <w:rsid w:val="3B5A363D"/>
    <w:rsid w:val="3C0418B6"/>
    <w:rsid w:val="3CB44FCF"/>
    <w:rsid w:val="3D1E767A"/>
    <w:rsid w:val="3D300428"/>
    <w:rsid w:val="3D6630AB"/>
    <w:rsid w:val="3E5720B6"/>
    <w:rsid w:val="3E8E2BBD"/>
    <w:rsid w:val="3E9927A1"/>
    <w:rsid w:val="3EE23EC0"/>
    <w:rsid w:val="3F01393D"/>
    <w:rsid w:val="3F286696"/>
    <w:rsid w:val="3F7942AE"/>
    <w:rsid w:val="3FCE3F3B"/>
    <w:rsid w:val="40183AC7"/>
    <w:rsid w:val="404F6679"/>
    <w:rsid w:val="408847A8"/>
    <w:rsid w:val="41263C06"/>
    <w:rsid w:val="41335C0F"/>
    <w:rsid w:val="41601281"/>
    <w:rsid w:val="41D54B5C"/>
    <w:rsid w:val="420267DC"/>
    <w:rsid w:val="42041BF2"/>
    <w:rsid w:val="421304D7"/>
    <w:rsid w:val="421774BD"/>
    <w:rsid w:val="42723962"/>
    <w:rsid w:val="42A81132"/>
    <w:rsid w:val="43373068"/>
    <w:rsid w:val="434C41B3"/>
    <w:rsid w:val="4350006E"/>
    <w:rsid w:val="43761230"/>
    <w:rsid w:val="438B7970"/>
    <w:rsid w:val="43C748AB"/>
    <w:rsid w:val="43E31C22"/>
    <w:rsid w:val="441C29F4"/>
    <w:rsid w:val="44225C7D"/>
    <w:rsid w:val="4490125C"/>
    <w:rsid w:val="44BB3481"/>
    <w:rsid w:val="453A003B"/>
    <w:rsid w:val="454D7D6F"/>
    <w:rsid w:val="457304FC"/>
    <w:rsid w:val="45790B64"/>
    <w:rsid w:val="45BD3146"/>
    <w:rsid w:val="45FF1BE3"/>
    <w:rsid w:val="465810C1"/>
    <w:rsid w:val="466A76B4"/>
    <w:rsid w:val="46D04246"/>
    <w:rsid w:val="470E6C95"/>
    <w:rsid w:val="47131708"/>
    <w:rsid w:val="47271F8D"/>
    <w:rsid w:val="47465255"/>
    <w:rsid w:val="4781276F"/>
    <w:rsid w:val="478D206A"/>
    <w:rsid w:val="47900B6D"/>
    <w:rsid w:val="47A345BE"/>
    <w:rsid w:val="47A95433"/>
    <w:rsid w:val="480706A9"/>
    <w:rsid w:val="481052EC"/>
    <w:rsid w:val="48A94A3C"/>
    <w:rsid w:val="48AC595B"/>
    <w:rsid w:val="48EB7FCA"/>
    <w:rsid w:val="491E6FD0"/>
    <w:rsid w:val="492B6619"/>
    <w:rsid w:val="49602DC9"/>
    <w:rsid w:val="498521CD"/>
    <w:rsid w:val="49B24078"/>
    <w:rsid w:val="49E948D9"/>
    <w:rsid w:val="49FE12F0"/>
    <w:rsid w:val="4A503956"/>
    <w:rsid w:val="4A6C0C97"/>
    <w:rsid w:val="4AA64F22"/>
    <w:rsid w:val="4AB31814"/>
    <w:rsid w:val="4AE42F23"/>
    <w:rsid w:val="4AEE1FC8"/>
    <w:rsid w:val="4B22482D"/>
    <w:rsid w:val="4B2477C4"/>
    <w:rsid w:val="4B2772B4"/>
    <w:rsid w:val="4B2876B5"/>
    <w:rsid w:val="4B321EE0"/>
    <w:rsid w:val="4B44381C"/>
    <w:rsid w:val="4B9C32AF"/>
    <w:rsid w:val="4BF049B7"/>
    <w:rsid w:val="4BF537F5"/>
    <w:rsid w:val="4C350CC1"/>
    <w:rsid w:val="4C486CB8"/>
    <w:rsid w:val="4CA46E0E"/>
    <w:rsid w:val="4CB160F3"/>
    <w:rsid w:val="4CB34986"/>
    <w:rsid w:val="4CD76FC7"/>
    <w:rsid w:val="4CEC7BD2"/>
    <w:rsid w:val="4CF66F3E"/>
    <w:rsid w:val="4D393DF9"/>
    <w:rsid w:val="4D3A7527"/>
    <w:rsid w:val="4D4B7953"/>
    <w:rsid w:val="4D93478D"/>
    <w:rsid w:val="4DE07D5D"/>
    <w:rsid w:val="4F560168"/>
    <w:rsid w:val="4F6D4EA4"/>
    <w:rsid w:val="50064149"/>
    <w:rsid w:val="50A44079"/>
    <w:rsid w:val="50C60EB4"/>
    <w:rsid w:val="50F32112"/>
    <w:rsid w:val="51266AA5"/>
    <w:rsid w:val="51346287"/>
    <w:rsid w:val="516E1798"/>
    <w:rsid w:val="51A60D0E"/>
    <w:rsid w:val="51BC5D96"/>
    <w:rsid w:val="521837FD"/>
    <w:rsid w:val="523A78CD"/>
    <w:rsid w:val="52B016A8"/>
    <w:rsid w:val="52F2298E"/>
    <w:rsid w:val="530F4CA6"/>
    <w:rsid w:val="5322110D"/>
    <w:rsid w:val="532F4120"/>
    <w:rsid w:val="533B7F7B"/>
    <w:rsid w:val="53445064"/>
    <w:rsid w:val="53736321"/>
    <w:rsid w:val="538075A7"/>
    <w:rsid w:val="53A06074"/>
    <w:rsid w:val="53A206F9"/>
    <w:rsid w:val="53B35B89"/>
    <w:rsid w:val="54373FE6"/>
    <w:rsid w:val="546B6EBC"/>
    <w:rsid w:val="547F1F0F"/>
    <w:rsid w:val="54837309"/>
    <w:rsid w:val="5488491F"/>
    <w:rsid w:val="558F4E6A"/>
    <w:rsid w:val="55E5259E"/>
    <w:rsid w:val="562C39D0"/>
    <w:rsid w:val="56B8337C"/>
    <w:rsid w:val="56C41998"/>
    <w:rsid w:val="570D6A55"/>
    <w:rsid w:val="57386303"/>
    <w:rsid w:val="57C956CF"/>
    <w:rsid w:val="57D367F9"/>
    <w:rsid w:val="57E26A3C"/>
    <w:rsid w:val="58080C68"/>
    <w:rsid w:val="58171C5F"/>
    <w:rsid w:val="585039A6"/>
    <w:rsid w:val="58ED38EB"/>
    <w:rsid w:val="596D67DA"/>
    <w:rsid w:val="5AB346C0"/>
    <w:rsid w:val="5ADB2402"/>
    <w:rsid w:val="5AED7BD2"/>
    <w:rsid w:val="5AF50C8C"/>
    <w:rsid w:val="5B0A5968"/>
    <w:rsid w:val="5BC21991"/>
    <w:rsid w:val="5BE82147"/>
    <w:rsid w:val="5BF94B2E"/>
    <w:rsid w:val="5C1B076F"/>
    <w:rsid w:val="5CC901CB"/>
    <w:rsid w:val="5CE56791"/>
    <w:rsid w:val="5D041203"/>
    <w:rsid w:val="5D0905C7"/>
    <w:rsid w:val="5D1D2CFD"/>
    <w:rsid w:val="5D3211BE"/>
    <w:rsid w:val="5D417D61"/>
    <w:rsid w:val="5E7C4265"/>
    <w:rsid w:val="5EA91B17"/>
    <w:rsid w:val="5F1D7B34"/>
    <w:rsid w:val="5F3961B5"/>
    <w:rsid w:val="5F6A683F"/>
    <w:rsid w:val="60342D77"/>
    <w:rsid w:val="603826E4"/>
    <w:rsid w:val="603B72AA"/>
    <w:rsid w:val="60430294"/>
    <w:rsid w:val="60762418"/>
    <w:rsid w:val="60E74E24"/>
    <w:rsid w:val="60F71F00"/>
    <w:rsid w:val="61193594"/>
    <w:rsid w:val="61A84853"/>
    <w:rsid w:val="61ED4F51"/>
    <w:rsid w:val="61F37874"/>
    <w:rsid w:val="62037CDB"/>
    <w:rsid w:val="62D52956"/>
    <w:rsid w:val="62E80C7F"/>
    <w:rsid w:val="6300246C"/>
    <w:rsid w:val="632443AD"/>
    <w:rsid w:val="635F3637"/>
    <w:rsid w:val="637B1AF3"/>
    <w:rsid w:val="651B358E"/>
    <w:rsid w:val="651F6C24"/>
    <w:rsid w:val="655756E8"/>
    <w:rsid w:val="656A17CF"/>
    <w:rsid w:val="65774816"/>
    <w:rsid w:val="660719F5"/>
    <w:rsid w:val="662A2B19"/>
    <w:rsid w:val="67512D1E"/>
    <w:rsid w:val="67900263"/>
    <w:rsid w:val="680622D3"/>
    <w:rsid w:val="68265E90"/>
    <w:rsid w:val="683D381B"/>
    <w:rsid w:val="68531E47"/>
    <w:rsid w:val="689E69FF"/>
    <w:rsid w:val="68BD54CD"/>
    <w:rsid w:val="68C335B2"/>
    <w:rsid w:val="69051537"/>
    <w:rsid w:val="694D5CE0"/>
    <w:rsid w:val="69881641"/>
    <w:rsid w:val="69AB14FE"/>
    <w:rsid w:val="6A437939"/>
    <w:rsid w:val="6A566FB0"/>
    <w:rsid w:val="6A83533B"/>
    <w:rsid w:val="6B0D5631"/>
    <w:rsid w:val="6B2E7EB1"/>
    <w:rsid w:val="6B3434EF"/>
    <w:rsid w:val="6B5B1DC7"/>
    <w:rsid w:val="6B6F4633"/>
    <w:rsid w:val="6B7F19BD"/>
    <w:rsid w:val="6BF6440D"/>
    <w:rsid w:val="6C046B2A"/>
    <w:rsid w:val="6C1831A7"/>
    <w:rsid w:val="6C270A6A"/>
    <w:rsid w:val="6C696D88"/>
    <w:rsid w:val="6C843EE6"/>
    <w:rsid w:val="6CAD0F6F"/>
    <w:rsid w:val="6CB45BA1"/>
    <w:rsid w:val="6CD36911"/>
    <w:rsid w:val="6CF272CA"/>
    <w:rsid w:val="6D6F4B5F"/>
    <w:rsid w:val="6D9B013C"/>
    <w:rsid w:val="6DBB76BC"/>
    <w:rsid w:val="6E086B91"/>
    <w:rsid w:val="6EAF4676"/>
    <w:rsid w:val="6F9E67CC"/>
    <w:rsid w:val="6FF249AF"/>
    <w:rsid w:val="71866233"/>
    <w:rsid w:val="72316527"/>
    <w:rsid w:val="725956F5"/>
    <w:rsid w:val="73125643"/>
    <w:rsid w:val="73997878"/>
    <w:rsid w:val="73A60FEF"/>
    <w:rsid w:val="73A62BBC"/>
    <w:rsid w:val="73A66718"/>
    <w:rsid w:val="73BC2EBC"/>
    <w:rsid w:val="74012C6F"/>
    <w:rsid w:val="74991AFA"/>
    <w:rsid w:val="74B012E1"/>
    <w:rsid w:val="75535257"/>
    <w:rsid w:val="75FD6C16"/>
    <w:rsid w:val="76760624"/>
    <w:rsid w:val="7684175B"/>
    <w:rsid w:val="76C842A1"/>
    <w:rsid w:val="76F624EB"/>
    <w:rsid w:val="76FF23E1"/>
    <w:rsid w:val="770A5210"/>
    <w:rsid w:val="77460338"/>
    <w:rsid w:val="777A4144"/>
    <w:rsid w:val="77866F8C"/>
    <w:rsid w:val="77A67049"/>
    <w:rsid w:val="78540E39"/>
    <w:rsid w:val="78831680"/>
    <w:rsid w:val="7897242F"/>
    <w:rsid w:val="78D30CE4"/>
    <w:rsid w:val="78D5702C"/>
    <w:rsid w:val="79063769"/>
    <w:rsid w:val="791365FE"/>
    <w:rsid w:val="791B1956"/>
    <w:rsid w:val="79323DC9"/>
    <w:rsid w:val="798344DD"/>
    <w:rsid w:val="799B7BD0"/>
    <w:rsid w:val="79BD1E6F"/>
    <w:rsid w:val="7A2E1215"/>
    <w:rsid w:val="7A49604F"/>
    <w:rsid w:val="7A497668"/>
    <w:rsid w:val="7A637111"/>
    <w:rsid w:val="7A774249"/>
    <w:rsid w:val="7AB358CC"/>
    <w:rsid w:val="7AF777C7"/>
    <w:rsid w:val="7B4469CE"/>
    <w:rsid w:val="7BC254F8"/>
    <w:rsid w:val="7BC40CF1"/>
    <w:rsid w:val="7BE14743"/>
    <w:rsid w:val="7C124E50"/>
    <w:rsid w:val="7C5F7DAC"/>
    <w:rsid w:val="7CFD27FF"/>
    <w:rsid w:val="7D515767"/>
    <w:rsid w:val="7D604282"/>
    <w:rsid w:val="7D97463E"/>
    <w:rsid w:val="7D9D309E"/>
    <w:rsid w:val="7DA5209D"/>
    <w:rsid w:val="7DD2564E"/>
    <w:rsid w:val="7DE71E07"/>
    <w:rsid w:val="7E486D4A"/>
    <w:rsid w:val="7F390D5A"/>
    <w:rsid w:val="7F3B68AE"/>
    <w:rsid w:val="7F472B60"/>
    <w:rsid w:val="7F797FDA"/>
    <w:rsid w:val="7F97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1"/>
    <w:qFormat/>
    <w:uiPriority w:val="0"/>
    <w:rPr>
      <w:sz w:val="18"/>
      <w:szCs w:val="18"/>
    </w:rPr>
  </w:style>
  <w:style w:type="paragraph" w:styleId="6">
    <w:name w:val="footer"/>
    <w:basedOn w:val="1"/>
    <w:link w:val="20"/>
    <w:qFormat/>
    <w:uiPriority w:val="99"/>
    <w:pPr>
      <w:tabs>
        <w:tab w:val="center" w:pos="4153"/>
        <w:tab w:val="right" w:pos="8306"/>
      </w:tabs>
    </w:pPr>
    <w:rPr>
      <w:sz w:val="20"/>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sz w:val="24"/>
    </w:rPr>
  </w:style>
  <w:style w:type="character" w:styleId="11">
    <w:name w:val="page number"/>
    <w:basedOn w:val="10"/>
    <w:qFormat/>
    <w:uiPriority w:val="0"/>
  </w:style>
  <w:style w:type="paragraph" w:styleId="12">
    <w:name w:val="List Paragraph"/>
    <w:basedOn w:val="1"/>
    <w:unhideWhenUsed/>
    <w:qFormat/>
    <w:uiPriority w:val="34"/>
    <w:pPr>
      <w:ind w:firstLine="420" w:firstLineChars="200"/>
    </w:pPr>
  </w:style>
  <w:style w:type="paragraph" w:customStyle="1" w:styleId="13">
    <w:name w:val="List Paragraph1"/>
    <w:basedOn w:val="1"/>
    <w:qFormat/>
    <w:uiPriority w:val="99"/>
    <w:pPr>
      <w:ind w:firstLine="420" w:firstLineChars="200"/>
    </w:pPr>
  </w:style>
  <w:style w:type="paragraph" w:customStyle="1" w:styleId="14">
    <w:name w:val="表名"/>
    <w:basedOn w:val="1"/>
    <w:qFormat/>
    <w:uiPriority w:val="0"/>
    <w:pPr>
      <w:widowControl w:val="0"/>
      <w:overflowPunct/>
      <w:autoSpaceDE/>
      <w:autoSpaceDN/>
      <w:adjustRightInd/>
      <w:spacing w:before="60" w:after="60"/>
      <w:jc w:val="center"/>
      <w:textAlignment w:val="auto"/>
    </w:pPr>
    <w:rPr>
      <w:rFonts w:eastAsia="仿宋_GB2312"/>
      <w:b/>
      <w:kern w:val="2"/>
      <w:sz w:val="24"/>
      <w:szCs w:val="24"/>
    </w:rPr>
  </w:style>
  <w:style w:type="character" w:customStyle="1" w:styleId="15">
    <w:name w:val="font41"/>
    <w:basedOn w:val="10"/>
    <w:qFormat/>
    <w:uiPriority w:val="0"/>
    <w:rPr>
      <w:rFonts w:hint="eastAsia" w:ascii="宋体" w:hAnsi="宋体" w:eastAsia="宋体" w:cs="宋体"/>
      <w:b/>
      <w:color w:val="000000"/>
      <w:sz w:val="21"/>
      <w:szCs w:val="21"/>
      <w:u w:val="none"/>
    </w:rPr>
  </w:style>
  <w:style w:type="character" w:customStyle="1" w:styleId="16">
    <w:name w:val="font01"/>
    <w:basedOn w:val="10"/>
    <w:qFormat/>
    <w:uiPriority w:val="0"/>
    <w:rPr>
      <w:rFonts w:ascii="仿宋_GB2312" w:eastAsia="仿宋_GB2312" w:cs="仿宋_GB2312"/>
      <w:b/>
      <w:color w:val="000000"/>
      <w:sz w:val="21"/>
      <w:szCs w:val="21"/>
      <w:u w:val="none"/>
    </w:rPr>
  </w:style>
  <w:style w:type="character" w:customStyle="1" w:styleId="17">
    <w:name w:val="font21"/>
    <w:basedOn w:val="10"/>
    <w:qFormat/>
    <w:uiPriority w:val="0"/>
    <w:rPr>
      <w:rFonts w:hint="default" w:ascii="Times New Roman" w:hAnsi="Times New Roman" w:cs="Times New Roman"/>
      <w:b/>
      <w:color w:val="000000"/>
      <w:sz w:val="21"/>
      <w:szCs w:val="21"/>
      <w:u w:val="none"/>
    </w:rPr>
  </w:style>
  <w:style w:type="character" w:customStyle="1" w:styleId="18">
    <w:name w:val="apple-converted-space"/>
    <w:basedOn w:val="10"/>
    <w:qFormat/>
    <w:uiPriority w:val="0"/>
  </w:style>
  <w:style w:type="character" w:customStyle="1" w:styleId="19">
    <w:name w:val="页眉 Char"/>
    <w:basedOn w:val="10"/>
    <w:link w:val="7"/>
    <w:qFormat/>
    <w:uiPriority w:val="0"/>
    <w:rPr>
      <w:sz w:val="18"/>
      <w:szCs w:val="18"/>
    </w:rPr>
  </w:style>
  <w:style w:type="character" w:customStyle="1" w:styleId="20">
    <w:name w:val="页脚 Char"/>
    <w:basedOn w:val="10"/>
    <w:link w:val="6"/>
    <w:qFormat/>
    <w:uiPriority w:val="99"/>
  </w:style>
  <w:style w:type="character" w:customStyle="1" w:styleId="21">
    <w:name w:val="批注框文本 Char"/>
    <w:basedOn w:val="10"/>
    <w:link w:val="5"/>
    <w:qFormat/>
    <w:uiPriority w:val="0"/>
    <w:rPr>
      <w:sz w:val="18"/>
      <w:szCs w:val="18"/>
    </w:rPr>
  </w:style>
  <w:style w:type="paragraph" w:customStyle="1" w:styleId="22">
    <w:name w:val="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5A9D-D8E7-4086-992F-86986A55677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17</Pages>
  <Words>6818</Words>
  <Characters>7154</Characters>
  <Lines>52</Lines>
  <Paragraphs>14</Paragraphs>
  <TotalTime>12</TotalTime>
  <ScaleCrop>false</ScaleCrop>
  <LinksUpToDate>false</LinksUpToDate>
  <CharactersWithSpaces>7225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2024-09-14T02:50:00Z</dcterms:created>
  <dc:creator>霏吡尋常</dc:creator>
  <cp:lastModifiedBy>  神采 奕奕</cp:lastModifiedBy>
  <cp:lastPrinted>2024-09-14T02:36:00Z</cp:lastPrinted>
  <dcterms:modified xsi:type="dcterms:W3CDTF">2025-11-19T08:15:48Z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_DocHome">
    <vt:i4>1759219631</vt:i4>
  </property>
  <property fmtid="{D5CDD505-2E9C-101B-9397-08002B2CF9AE}" pid="4" name="ICV">
    <vt:lpwstr>C3609FCD5CCC406883F1558B78203C5F</vt:lpwstr>
  </property>
  <property fmtid="{D5CDD505-2E9C-101B-9397-08002B2CF9AE}" pid="5" name="KSOTemplateDocerSaveRecord">
    <vt:lpwstr>eyJoZGlkIjoiMjFkYWIzOGQ4ODBkMzgwNDE5MDZiOTNjNmEyNDczMDQiLCJ1c2VySWQiOiI3MjQ1MzAwNTcifQ==</vt:lpwstr>
  </property>
</Properties>
</file>