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1128">
      <w:pPr>
        <w:spacing w:line="560" w:lineRule="exact"/>
        <w:jc w:val="center"/>
        <w:rPr>
          <w:rFonts w:ascii="黑体" w:hAnsi="黑体" w:eastAsia="黑体"/>
          <w:b/>
          <w:sz w:val="44"/>
          <w:szCs w:val="44"/>
        </w:rPr>
      </w:pPr>
      <w:bookmarkStart w:id="0" w:name="_Toc413586940"/>
      <w:r>
        <w:rPr>
          <w:rFonts w:hint="eastAsia" w:ascii="黑体" w:hAnsi="黑体" w:eastAsia="黑体"/>
          <w:b/>
          <w:sz w:val="44"/>
          <w:szCs w:val="44"/>
        </w:rPr>
        <w:t>2024年度南京市机关事务管理局</w:t>
      </w:r>
    </w:p>
    <w:p w14:paraId="17D811D4">
      <w:pPr>
        <w:spacing w:line="560" w:lineRule="exact"/>
        <w:jc w:val="center"/>
        <w:rPr>
          <w:rFonts w:ascii="黑体" w:hAnsi="黑体" w:eastAsia="黑体"/>
          <w:b/>
          <w:sz w:val="44"/>
          <w:szCs w:val="44"/>
        </w:rPr>
      </w:pPr>
      <w:r>
        <w:rPr>
          <w:rFonts w:hint="eastAsia" w:ascii="黑体" w:hAnsi="黑体" w:eastAsia="黑体"/>
          <w:b/>
          <w:sz w:val="44"/>
          <w:szCs w:val="44"/>
        </w:rPr>
        <w:t>整体预算绩效自评价报告</w:t>
      </w:r>
    </w:p>
    <w:p w14:paraId="4A4B81F1">
      <w:pPr>
        <w:spacing w:line="560" w:lineRule="exact"/>
        <w:jc w:val="center"/>
        <w:rPr>
          <w:rFonts w:ascii="黑体" w:hAnsi="黑体" w:eastAsia="黑体"/>
          <w:b/>
          <w:sz w:val="44"/>
          <w:szCs w:val="44"/>
        </w:rPr>
      </w:pPr>
    </w:p>
    <w:bookmarkEnd w:id="0"/>
    <w:p w14:paraId="551A20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升财政资金使用效益，提高部门整体预算绩效管理水平，保障部门更好地履行职责，我局认真落实《2025年南京市市级预算部门（单位）预算绩效管理责任清单》（宁财绩〔2025〕106号）要求，对管理局机关2024年度部门整体预算绩效进行评价，经过前期准备、评价指标研发、数据采集与核查、综合评价与分析等几个阶段，形成绩效评价报告，现将评价结果报告如下：</w:t>
      </w:r>
    </w:p>
    <w:p w14:paraId="75C2651F">
      <w:pPr>
        <w:pStyle w:val="2"/>
        <w:spacing w:before="0" w:after="0" w:line="560" w:lineRule="exact"/>
        <w:ind w:firstLine="643" w:firstLineChars="200"/>
        <w:rPr>
          <w:rFonts w:ascii="黑体" w:hAnsi="黑体" w:eastAsia="黑体"/>
          <w:sz w:val="32"/>
          <w:szCs w:val="32"/>
        </w:rPr>
      </w:pPr>
      <w:bookmarkStart w:id="1" w:name="_Toc24624017"/>
      <w:r>
        <w:rPr>
          <w:rFonts w:hint="eastAsia" w:ascii="黑体" w:hAnsi="黑体" w:eastAsia="黑体"/>
          <w:sz w:val="32"/>
          <w:szCs w:val="32"/>
        </w:rPr>
        <w:t>一、部门</w:t>
      </w:r>
      <w:bookmarkEnd w:id="1"/>
      <w:r>
        <w:rPr>
          <w:rFonts w:hint="eastAsia" w:ascii="黑体" w:hAnsi="黑体" w:eastAsia="黑体"/>
          <w:sz w:val="32"/>
          <w:szCs w:val="32"/>
        </w:rPr>
        <w:t>基本情况</w:t>
      </w:r>
    </w:p>
    <w:p w14:paraId="5EEFEBB8">
      <w:pPr>
        <w:spacing w:line="560" w:lineRule="exact"/>
        <w:ind w:firstLine="640" w:firstLineChars="200"/>
        <w:rPr>
          <w:rFonts w:ascii="仿宋_GB2312" w:hAnsi="仿宋_GB2312" w:eastAsia="仿宋_GB2312" w:cs="仿宋_GB2312"/>
          <w:sz w:val="32"/>
          <w:szCs w:val="32"/>
        </w:rPr>
      </w:pPr>
      <w:bookmarkStart w:id="2" w:name="_Toc24624018"/>
      <w:r>
        <w:rPr>
          <w:rFonts w:hint="eastAsia" w:ascii="仿宋_GB2312" w:hAnsi="仿宋_GB2312" w:eastAsia="仿宋_GB2312" w:cs="仿宋_GB2312"/>
          <w:sz w:val="32"/>
          <w:szCs w:val="32"/>
        </w:rPr>
        <w:t>（一）部门概况</w:t>
      </w:r>
    </w:p>
    <w:p w14:paraId="292184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部门职能简介</w:t>
      </w:r>
      <w:bookmarkEnd w:id="2"/>
    </w:p>
    <w:p w14:paraId="434350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根据南京市人民政府办公厅文件（宁政办发</w:t>
      </w:r>
      <w:r>
        <w:rPr>
          <w:rFonts w:hint="eastAsia" w:eastAsia="仿宋_GB2312"/>
          <w:sz w:val="32"/>
          <w:szCs w:val="32"/>
        </w:rPr>
        <w:t>〔2016〕</w:t>
      </w:r>
      <w:r>
        <w:rPr>
          <w:rFonts w:hint="eastAsia" w:ascii="仿宋_GB2312" w:hAnsi="仿宋_GB2312" w:eastAsia="仿宋_GB2312" w:cs="仿宋_GB2312"/>
          <w:sz w:val="32"/>
          <w:szCs w:val="32"/>
        </w:rPr>
        <w:t>1号）规定，我局主要职责包括：</w:t>
      </w:r>
    </w:p>
    <w:p w14:paraId="49D773D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（1）贯彻执行党和国家的有关方针政策，研究制定全市机关事务管理工作的具体政策和管理制度并组织实施。</w:t>
      </w:r>
    </w:p>
    <w:p w14:paraId="51E1EA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（2）会同有关部门研究制定并组织实施全市机关事务管理体制改革的政策和办法，指导区和市级机关部门机关事务工作。</w:t>
      </w:r>
    </w:p>
    <w:p w14:paraId="66074F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（3）负责市级机关和事业单位的办公用房、车辆等有关国有资产产权界定、清查登记工作。</w:t>
      </w:r>
    </w:p>
    <w:p w14:paraId="4A08B1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综合管理市级机关房地产，管理市级机关土地使用权；负责市级机关办公用房的权属、调配、使用、处置和基建、修缮的统一管理工作；负责市级机关办公用房维修改造项目审批；负责市级机关办公用房和自有产权、代管房产住宅的管理工作；负责市级机关物业管理标准制订及政治核心区域、保密区域的物业管理工作。</w:t>
      </w:r>
    </w:p>
    <w:p w14:paraId="13B15C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市级机关和事业单位公务车辆的集中统一管理；审核公务用车的编制、配备、更新、报废事项；指导区机关公务用车管理工作；监管市属国有企业公务用车；负责南京市承办的重大政治、经济、文化活动的公务车辆服务保障工作。</w:t>
      </w:r>
    </w:p>
    <w:p w14:paraId="672109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（6）推进节约型机关的建设工作；会同市节能主管部门，负责全市公共机构的节能管理工作；制定全市公共机构的节能规划、能源消耗定额和节能目标并组织实施。</w:t>
      </w:r>
    </w:p>
    <w:p w14:paraId="4164ED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（7）负责市级机关的治安保卫工作，维护机关集中办公区的交通秩序，协助处理机关内部的交通事故、治安案件；协助有关部门维护集中办公区的上访秩序和市级领导集中住宅区的安保工作。</w:t>
      </w:r>
    </w:p>
    <w:p w14:paraId="37CA2A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（8）负责市级机关爱国卫生、环境综合治理标准化建设、绿化美化和人民防空工作。</w:t>
      </w:r>
    </w:p>
    <w:p w14:paraId="537CAD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（9）会同有关部门承办来我市的内宾接待服务工作；协助承担市重要会议、大型活动的服务保障工作。</w:t>
      </w:r>
    </w:p>
    <w:p w14:paraId="06B0546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（10）承办市委、市政府交办的其他事项。</w:t>
      </w:r>
    </w:p>
    <w:p w14:paraId="79FBDCDF">
      <w:pPr>
        <w:spacing w:line="560" w:lineRule="exact"/>
        <w:ind w:firstLine="640" w:firstLineChars="200"/>
        <w:rPr>
          <w:rFonts w:ascii="仿宋_GB2312" w:hAnsi="仿宋_GB2312" w:eastAsia="仿宋_GB2312" w:cs="仿宋_GB2312"/>
          <w:sz w:val="32"/>
          <w:szCs w:val="32"/>
        </w:rPr>
      </w:pPr>
      <w:bookmarkStart w:id="3" w:name="_Toc24624019"/>
      <w:r>
        <w:rPr>
          <w:rFonts w:hint="eastAsia" w:ascii="仿宋_GB2312" w:hAnsi="仿宋_GB2312" w:eastAsia="仿宋_GB2312" w:cs="仿宋_GB2312"/>
          <w:sz w:val="32"/>
          <w:szCs w:val="32"/>
        </w:rPr>
        <w:t>2. 部门机构设置</w:t>
      </w:r>
      <w:bookmarkEnd w:id="3"/>
    </w:p>
    <w:p w14:paraId="04AE29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部门职责分工，管理局机关内设办公室（机关事务信息处）、人事教育处（审计处）、财务处（资产管理处）、服务监管处、房地产管理处、基建处、安全保卫处（车辆管理处）、节能管理处、政策法规处、机关党委以及离退休干部处。</w:t>
      </w:r>
    </w:p>
    <w:p w14:paraId="0DABE3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3.人员情况</w:t>
      </w:r>
    </w:p>
    <w:p w14:paraId="109B8C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管理局机关编制数108人，截至2024年底，实有人数284人，其中：在职人员104人、离休人员1人、退休人员177人、编外人员2人。</w:t>
      </w:r>
    </w:p>
    <w:p w14:paraId="25D552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4.资产情况</w:t>
      </w:r>
    </w:p>
    <w:p w14:paraId="5241D4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截止2024年底，管理局机关资产总计469412万元，其中流动资产9473.95万元、非流动资产459938.05万元。</w:t>
      </w:r>
    </w:p>
    <w:p w14:paraId="4E8D46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固定资产原值648872.66万元，累计折旧金额189505.34万元，固定资产净值459367.32万元；无形资产原值797.6万元，累计摊销226.86万元，无形资产净值570.74万元；期末无在建工程余额。 </w:t>
      </w:r>
    </w:p>
    <w:p w14:paraId="3FBBB9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（二）部门预算管理与使用情况</w:t>
      </w:r>
    </w:p>
    <w:p w14:paraId="629E987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部门整体预算及执行情况</w:t>
      </w:r>
    </w:p>
    <w:p w14:paraId="28A50E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2024年度，管理局机关年初预算</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14564.58万元，</w:t>
      </w:r>
      <w:r>
        <w:rPr>
          <w:rFonts w:hint="eastAsia" w:ascii="仿宋_GB2312" w:hAnsi="仿宋_GB2312" w:eastAsia="仿宋_GB2312" w:cs="仿宋_GB2312"/>
          <w:sz w:val="32"/>
          <w:szCs w:val="32"/>
          <w:lang w:eastAsia="zh-CN"/>
        </w:rPr>
        <w:t>调整后全年预算收入</w:t>
      </w:r>
      <w:r>
        <w:rPr>
          <w:rFonts w:hint="eastAsia" w:ascii="仿宋_GB2312" w:hAnsi="仿宋_GB2312" w:eastAsia="仿宋_GB2312" w:cs="仿宋_GB2312"/>
          <w:sz w:val="32"/>
          <w:szCs w:val="32"/>
          <w:lang w:val="en-US" w:eastAsia="zh-CN"/>
        </w:rPr>
        <w:t>14423.14万元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全年预算支出</w:t>
      </w:r>
      <w:r>
        <w:rPr>
          <w:rFonts w:hint="eastAsia" w:ascii="仿宋_GB2312" w:hAnsi="仿宋_GB2312" w:eastAsia="仿宋_GB2312" w:cs="仿宋_GB2312"/>
          <w:sz w:val="32"/>
          <w:szCs w:val="32"/>
        </w:rPr>
        <w:t>14398.62万元，年末结转和结余24.52万元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整体预算调整率-0.97%，调整</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当年预算执行率9</w:t>
      </w:r>
      <w:r>
        <w:rPr>
          <w:rFonts w:hint="eastAsia" w:ascii="仿宋_GB2312" w:hAnsi="仿宋_GB2312" w:eastAsia="仿宋_GB2312" w:cs="仿宋_GB2312"/>
          <w:sz w:val="32"/>
          <w:szCs w:val="32"/>
          <w:lang w:val="en-US" w:eastAsia="zh-CN"/>
        </w:rPr>
        <w:t>9.83</w:t>
      </w:r>
      <w:r>
        <w:rPr>
          <w:rFonts w:hint="eastAsia" w:ascii="仿宋_GB2312" w:hAnsi="仿宋_GB2312" w:eastAsia="仿宋_GB2312" w:cs="仿宋_GB2312"/>
          <w:sz w:val="32"/>
          <w:szCs w:val="32"/>
        </w:rPr>
        <w:t>%。</w:t>
      </w:r>
    </w:p>
    <w:p w14:paraId="47BCA8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2.“三公两费”使用情况</w:t>
      </w:r>
    </w:p>
    <w:p w14:paraId="5F887BD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2024年度，管理局机关“三公两费”支出1197.6万元，其中“三公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经费支出1176.72万元：因公出国（境）费 0 万元、公务用车购置及运行维护费1169.89万元（包括全市党政机关和事业单位公务用车购置专项1163.55万元、公务用车运行维护费6.34万元）、公务接待费6.83万元；会议费支出5.37万元、培训费支出15.51万元。</w:t>
      </w:r>
    </w:p>
    <w:p w14:paraId="34B6DE29">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项目资金使用情况</w:t>
      </w:r>
    </w:p>
    <w:p w14:paraId="6E9E60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2024年度，管理局机关实施项目共计20项，涉及项目收入数7775.06万元、支出数7775.06万元，年末结转和结余 0 万元。</w:t>
      </w:r>
    </w:p>
    <w:p w14:paraId="1C4011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（三）部门绩效目标</w:t>
      </w:r>
    </w:p>
    <w:p w14:paraId="24D99B1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中长期阶段性目标</w:t>
      </w:r>
    </w:p>
    <w:p w14:paraId="2FE46FC7">
      <w:pPr>
        <w:pStyle w:val="15"/>
        <w:spacing w:before="0" w:after="0" w:line="560" w:lineRule="exact"/>
        <w:ind w:firstLine="640" w:firstLineChars="200"/>
        <w:jc w:val="left"/>
        <w:rPr>
          <w:b w:val="0"/>
          <w:color w:val="000000"/>
          <w:sz w:val="32"/>
          <w:szCs w:val="32"/>
        </w:rPr>
      </w:pPr>
      <w:r>
        <w:rPr>
          <w:rFonts w:hint="eastAsia"/>
          <w:b w:val="0"/>
          <w:color w:val="000000"/>
          <w:sz w:val="32"/>
          <w:szCs w:val="32"/>
        </w:rPr>
        <w:t>（1）一体化发展构建新格局。机关事务职能作用不断强化，职责更加清晰、完备。打造以南京市、区两级为主体，辐射带动“南京都市圈”一体化发展的机关事务工作新格局。推动“南京都市圈”各成员机关事务部门工作对话交流、政策共研、标准共建、信息共享、干部共训。</w:t>
      </w:r>
    </w:p>
    <w:p w14:paraId="0D47EBFC">
      <w:pPr>
        <w:pStyle w:val="15"/>
        <w:spacing w:before="0" w:after="0" w:line="560" w:lineRule="exact"/>
        <w:ind w:firstLine="640" w:firstLineChars="200"/>
        <w:jc w:val="left"/>
        <w:rPr>
          <w:b w:val="0"/>
          <w:color w:val="000000"/>
          <w:sz w:val="32"/>
          <w:szCs w:val="32"/>
        </w:rPr>
      </w:pPr>
      <w:r>
        <w:rPr>
          <w:rFonts w:hint="eastAsia"/>
          <w:b w:val="0"/>
          <w:color w:val="000000"/>
          <w:sz w:val="32"/>
          <w:szCs w:val="32"/>
        </w:rPr>
        <w:t>（2）机关事务治理打造新生态。推动机关事务治理体系构建，注重整体性、系统性，发挥党建引领作用，着力强化规章制度、服务标准、内部控制、考核监督体系建设，形成框架健全、衔接有序、内容充实的体系架构，不断提升机关事务治理能力，打造机关事务治理新生态。</w:t>
      </w:r>
    </w:p>
    <w:p w14:paraId="3DD08CCC">
      <w:pPr>
        <w:pStyle w:val="15"/>
        <w:spacing w:before="0" w:after="0" w:line="560" w:lineRule="exact"/>
        <w:ind w:firstLine="640" w:firstLineChars="200"/>
        <w:jc w:val="left"/>
        <w:rPr>
          <w:b w:val="0"/>
          <w:color w:val="000000"/>
          <w:sz w:val="32"/>
          <w:szCs w:val="32"/>
        </w:rPr>
      </w:pPr>
      <w:r>
        <w:rPr>
          <w:rFonts w:hint="eastAsia"/>
          <w:b w:val="0"/>
          <w:color w:val="000000"/>
          <w:sz w:val="32"/>
          <w:szCs w:val="32"/>
        </w:rPr>
        <w:t>（3）集中统一管理迈向新阶段。集中统一管理体制机制更加健全，以资产集中管理为基础，按照权责明晰、运行顺畅、协同高效的原则，推动机关事务各要素各环节全生命周期管理。进一步统一机关运行经费、资产、服务、能源、资源标准定额，高质量推进公物仓建设管理。</w:t>
      </w:r>
    </w:p>
    <w:p w14:paraId="1C5595CD">
      <w:pPr>
        <w:pStyle w:val="15"/>
        <w:spacing w:before="0" w:after="0" w:line="560" w:lineRule="exact"/>
        <w:ind w:firstLine="640" w:firstLineChars="200"/>
        <w:jc w:val="left"/>
        <w:rPr>
          <w:b w:val="0"/>
          <w:color w:val="000000"/>
          <w:sz w:val="32"/>
          <w:szCs w:val="32"/>
        </w:rPr>
      </w:pPr>
      <w:r>
        <w:rPr>
          <w:rFonts w:hint="eastAsia"/>
          <w:b w:val="0"/>
          <w:color w:val="000000"/>
          <w:sz w:val="32"/>
          <w:szCs w:val="32"/>
        </w:rPr>
        <w:t>（4）高品质服务保障彰显新内涵。聚焦机关服务保障新需求和社会化新趋势，在政务活动保障、医疗保健、物业管理、餐饮膳食、一站式平台、公务用车、幼儿教育等方面体现南京服务特色，传承和创建一系列彰显南京元素的服务保障品牌，为党政机关规范高效运行提供有力保障。</w:t>
      </w:r>
    </w:p>
    <w:p w14:paraId="16963535">
      <w:pPr>
        <w:pStyle w:val="15"/>
        <w:spacing w:before="0" w:after="0" w:line="560" w:lineRule="exact"/>
        <w:ind w:firstLine="640" w:firstLineChars="200"/>
        <w:jc w:val="left"/>
        <w:rPr>
          <w:b w:val="0"/>
          <w:color w:val="000000"/>
          <w:sz w:val="32"/>
          <w:szCs w:val="32"/>
        </w:rPr>
      </w:pPr>
      <w:r>
        <w:rPr>
          <w:rFonts w:hint="eastAsia"/>
          <w:b w:val="0"/>
          <w:color w:val="000000"/>
          <w:sz w:val="32"/>
          <w:szCs w:val="32"/>
        </w:rPr>
        <w:t>（5）节约型机关建设跨入新境界。贯彻习近平生态文明思想，促进能源资源降耗增效，推进能源资源节约和生态环境保护，践行“碳达峰、碳中和”。坚决制止餐饮浪费，推动党政机关厉行勤俭节约、反对铺张浪费，进一步降低机关运行成本。推行绿色办公，全面实施生活垃圾分类，形成简约适度、绿色低碳的机关运行和工作方式。</w:t>
      </w:r>
    </w:p>
    <w:p w14:paraId="3313118A">
      <w:pPr>
        <w:pStyle w:val="15"/>
        <w:spacing w:before="0" w:after="0" w:line="560" w:lineRule="exact"/>
        <w:ind w:firstLine="640" w:firstLineChars="200"/>
        <w:jc w:val="left"/>
        <w:rPr>
          <w:b w:val="0"/>
          <w:color w:val="000000"/>
          <w:sz w:val="32"/>
          <w:szCs w:val="32"/>
        </w:rPr>
      </w:pPr>
      <w:r>
        <w:rPr>
          <w:rFonts w:hint="eastAsia"/>
          <w:b w:val="0"/>
          <w:color w:val="000000"/>
          <w:sz w:val="32"/>
          <w:szCs w:val="32"/>
        </w:rPr>
        <w:t>（6）文化品牌建设呈现新气派。把“甘于平凡、乐于奉献”理念贯穿机关事务文化建设全过程和各领域，担负起举旗帜、聚人心、兴文化、展形象的使命任务，提升干部职工文明素质、文明程度和文化软实力，建设具有南京特色、时代特征的机关事务文化载体。</w:t>
      </w:r>
      <w:r>
        <w:rPr>
          <w:rFonts w:hint="eastAsia"/>
          <w:b w:val="0"/>
          <w:color w:val="000000"/>
          <w:sz w:val="32"/>
          <w:szCs w:val="32"/>
        </w:rPr>
        <w:tab/>
      </w:r>
      <w:r>
        <w:rPr>
          <w:rFonts w:hint="eastAsia"/>
          <w:b w:val="0"/>
          <w:color w:val="000000"/>
          <w:sz w:val="32"/>
          <w:szCs w:val="32"/>
        </w:rPr>
        <w:tab/>
      </w:r>
      <w:r>
        <w:rPr>
          <w:rFonts w:hint="eastAsia"/>
          <w:b w:val="0"/>
          <w:color w:val="000000"/>
          <w:sz w:val="32"/>
          <w:szCs w:val="32"/>
        </w:rPr>
        <w:tab/>
      </w:r>
      <w:r>
        <w:rPr>
          <w:rFonts w:hint="eastAsia"/>
          <w:b w:val="0"/>
          <w:color w:val="000000"/>
          <w:sz w:val="32"/>
          <w:szCs w:val="32"/>
        </w:rPr>
        <w:tab/>
      </w:r>
    </w:p>
    <w:p w14:paraId="2AB4E6E1">
      <w:pPr>
        <w:pStyle w:val="15"/>
        <w:spacing w:before="0" w:after="0" w:line="560" w:lineRule="exact"/>
        <w:ind w:firstLine="640" w:firstLineChars="200"/>
        <w:jc w:val="left"/>
        <w:rPr>
          <w:b w:val="0"/>
          <w:color w:val="000000"/>
          <w:sz w:val="32"/>
          <w:szCs w:val="32"/>
        </w:rPr>
      </w:pPr>
      <w:r>
        <w:rPr>
          <w:rFonts w:hint="eastAsia"/>
          <w:b w:val="0"/>
          <w:color w:val="000000"/>
          <w:sz w:val="32"/>
          <w:szCs w:val="32"/>
        </w:rPr>
        <w:t>2. 年度目标</w:t>
      </w:r>
    </w:p>
    <w:p w14:paraId="33A4B54F">
      <w:pPr>
        <w:pStyle w:val="15"/>
        <w:spacing w:before="0" w:after="0" w:line="560" w:lineRule="exact"/>
        <w:ind w:firstLine="640" w:firstLineChars="200"/>
        <w:jc w:val="both"/>
        <w:rPr>
          <w:b w:val="0"/>
          <w:color w:val="000000"/>
          <w:sz w:val="32"/>
          <w:szCs w:val="32"/>
        </w:rPr>
      </w:pPr>
      <w:r>
        <w:rPr>
          <w:rFonts w:hint="eastAsia"/>
          <w:b w:val="0"/>
          <w:color w:val="000000"/>
          <w:sz w:val="32"/>
          <w:szCs w:val="32"/>
        </w:rPr>
        <w:t>坚持以习近平新时代中国特色社会主义思想为指导，深入学习贯彻党的二十大和习近平总书记关于机关事务工作的重要指示精神，坚持勤俭办一切事业，做到两个更好服务，盘活利用存量资产资源、推动绿色低碳引领、提高服务保障效能，以高质量的机关运行保障，更好服务南京高质量发展走在前列。</w:t>
      </w:r>
    </w:p>
    <w:p w14:paraId="7D736B0F">
      <w:pPr>
        <w:pStyle w:val="15"/>
        <w:spacing w:before="0" w:after="0" w:line="560" w:lineRule="exact"/>
        <w:ind w:firstLine="640" w:firstLineChars="200"/>
        <w:jc w:val="left"/>
        <w:rPr>
          <w:b w:val="0"/>
          <w:color w:val="000000"/>
          <w:sz w:val="32"/>
          <w:szCs w:val="32"/>
        </w:rPr>
      </w:pPr>
      <w:r>
        <w:rPr>
          <w:rFonts w:hint="eastAsia"/>
          <w:b w:val="0"/>
          <w:color w:val="000000"/>
          <w:sz w:val="32"/>
          <w:szCs w:val="32"/>
        </w:rPr>
        <w:t>（1）全面推动盘活存量资产资源工作落地见效。一是推进房产统管类别全覆盖。二是多元化多路径盘活资产。三是实现公物仓资产管理“颗粒归仓”。</w:t>
      </w:r>
    </w:p>
    <w:p w14:paraId="6E209462">
      <w:pPr>
        <w:pStyle w:val="15"/>
        <w:spacing w:before="0" w:after="0" w:line="560" w:lineRule="exact"/>
        <w:ind w:firstLine="640" w:firstLineChars="200"/>
        <w:jc w:val="left"/>
        <w:rPr>
          <w:b w:val="0"/>
          <w:color w:val="000000"/>
          <w:sz w:val="32"/>
          <w:szCs w:val="32"/>
        </w:rPr>
      </w:pPr>
      <w:r>
        <w:rPr>
          <w:rFonts w:hint="eastAsia"/>
          <w:b w:val="0"/>
          <w:color w:val="000000"/>
          <w:sz w:val="32"/>
          <w:szCs w:val="32"/>
        </w:rPr>
        <w:t>（2）全面推动公共机构绿色低碳引领。一是加快推进分布式光伏建设。二是积极推动重点行业绿色低碳转型。三是坚决落实反食品浪费和垃圾分类工作要求。</w:t>
      </w:r>
    </w:p>
    <w:p w14:paraId="6E3C1F85">
      <w:pPr>
        <w:pStyle w:val="15"/>
        <w:spacing w:before="0" w:after="0" w:line="560" w:lineRule="exact"/>
        <w:ind w:firstLine="640" w:firstLineChars="200"/>
        <w:jc w:val="left"/>
        <w:rPr>
          <w:b w:val="0"/>
          <w:color w:val="000000"/>
          <w:sz w:val="32"/>
          <w:szCs w:val="32"/>
        </w:rPr>
      </w:pPr>
      <w:r>
        <w:rPr>
          <w:rFonts w:hint="eastAsia"/>
          <w:b w:val="0"/>
          <w:color w:val="000000"/>
          <w:sz w:val="32"/>
          <w:szCs w:val="32"/>
        </w:rPr>
        <w:t>（3）全面推动运行保障效能提升。一是增强会堂经营创收能力。二是提升机关医院老年病防治特色。三是深化物业集团化品牌化发展。四是丰富膳食服务供给。五是强化公车服务规范建设和安全管理。六是推动幼教学科建设和品牌塑造。</w:t>
      </w:r>
    </w:p>
    <w:p w14:paraId="341B6BB9">
      <w:pPr>
        <w:pStyle w:val="15"/>
        <w:spacing w:before="0" w:after="0" w:line="560" w:lineRule="exact"/>
        <w:ind w:firstLine="640" w:firstLineChars="200"/>
        <w:jc w:val="both"/>
        <w:rPr>
          <w:rFonts w:ascii="黑体" w:hAnsi="黑体" w:eastAsia="黑体"/>
          <w:b w:val="0"/>
          <w:sz w:val="32"/>
          <w:szCs w:val="32"/>
        </w:rPr>
      </w:pPr>
      <w:r>
        <w:rPr>
          <w:rFonts w:ascii="黑体" w:hAnsi="黑体" w:eastAsia="黑体"/>
          <w:b w:val="0"/>
          <w:sz w:val="32"/>
          <w:szCs w:val="32"/>
        </w:rPr>
        <w:t>二</w:t>
      </w:r>
      <w:r>
        <w:rPr>
          <w:rFonts w:hint="eastAsia" w:ascii="黑体" w:hAnsi="黑体" w:eastAsia="黑体"/>
          <w:b w:val="0"/>
          <w:sz w:val="32"/>
          <w:szCs w:val="32"/>
        </w:rPr>
        <w:t>、评价结论</w:t>
      </w:r>
    </w:p>
    <w:p w14:paraId="73EE64D0">
      <w:pPr>
        <w:widowControl w:val="0"/>
        <w:overflowPunct/>
        <w:autoSpaceDE/>
        <w:autoSpaceDN/>
        <w:adjustRightInd/>
        <w:spacing w:line="560" w:lineRule="exact"/>
        <w:ind w:firstLine="640" w:firstLineChars="200"/>
        <w:textAlignment w:val="auto"/>
        <w:rPr>
          <w:rFonts w:eastAsia="仿宋_GB2312"/>
          <w:sz w:val="32"/>
          <w:szCs w:val="32"/>
        </w:rPr>
      </w:pPr>
      <w:r>
        <w:rPr>
          <w:rFonts w:hint="eastAsia" w:eastAsia="仿宋_GB2312"/>
          <w:sz w:val="32"/>
          <w:szCs w:val="32"/>
        </w:rPr>
        <w:t>以指标体系为基础，经过确认评价基础数据，按照制定的评价标准与评分规则，以100分为评价标杆分值，从部门决策、部门管理、部门履职、履职绩效、可持续发展能力等五个方面对我局机关2024年度部门整体绩效进行综合评价和量化打分。经评价，我局机关2024年度部门整体绩效评分结果为99.64分（详见附件：《南京市机关事务管理局2024年度部门整体支出绩效综合评价表》），等级“优秀”。</w:t>
      </w:r>
    </w:p>
    <w:p w14:paraId="6984D13F">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三、部门履职成效</w:t>
      </w:r>
    </w:p>
    <w:p w14:paraId="391AD61E">
      <w:pPr>
        <w:pStyle w:val="3"/>
        <w:spacing w:before="0" w:after="0" w:line="560" w:lineRule="exact"/>
        <w:ind w:firstLine="640"/>
        <w:rPr>
          <w:rFonts w:ascii="Times New Roman" w:hAnsi="Times New Roman" w:eastAsia="仿宋_GB2312" w:cs="Times New Roman"/>
          <w:b w:val="0"/>
          <w:bCs w:val="0"/>
        </w:rPr>
      </w:pPr>
      <w:r>
        <w:rPr>
          <w:rFonts w:hint="eastAsia" w:ascii="Times New Roman" w:hAnsi="Times New Roman" w:eastAsia="仿宋_GB2312" w:cs="Times New Roman"/>
          <w:b w:val="0"/>
          <w:bCs w:val="0"/>
        </w:rPr>
        <w:t>（一）办公用房管理情况</w:t>
      </w:r>
    </w:p>
    <w:p w14:paraId="26690AA7">
      <w:pPr>
        <w:spacing w:line="560" w:lineRule="exact"/>
        <w:ind w:firstLine="640" w:firstLineChars="200"/>
        <w:rPr>
          <w:rFonts w:eastAsia="仿宋_GB2312"/>
          <w:sz w:val="32"/>
          <w:szCs w:val="32"/>
        </w:rPr>
      </w:pPr>
      <w:r>
        <w:rPr>
          <w:rFonts w:hint="eastAsia" w:eastAsia="仿宋_GB2312"/>
          <w:sz w:val="32"/>
          <w:szCs w:val="32"/>
        </w:rPr>
        <w:t>一是统一规划。结合机构改革和办公用房储备情况，逐步推进机关事业单位按系统、按类别集中或相对集中办公，共用配套设施，节约运行成本。二是统一权属。推动解决历史遗留问题，完成梦都大街168号等12处房产权属统一登记，建筑面积8万余平方米。三是统一配置。为市级机关部分涉改单位调配办公用房，合理优化办公用房配置结构。四是统一处置。加强办公用房盘活利用，挂牌出租盘活存量闲置房产，集中出售盘活市内外低效资产，较好实现国有资产保值增值。</w:t>
      </w:r>
    </w:p>
    <w:p w14:paraId="30677C30">
      <w:pPr>
        <w:numPr>
          <w:ilvl w:val="0"/>
          <w:numId w:val="2"/>
        </w:numPr>
        <w:spacing w:line="560" w:lineRule="exact"/>
        <w:ind w:firstLine="640" w:firstLineChars="200"/>
        <w:rPr>
          <w:rFonts w:eastAsia="仿宋_GB2312"/>
          <w:sz w:val="32"/>
          <w:szCs w:val="32"/>
        </w:rPr>
      </w:pPr>
      <w:r>
        <w:rPr>
          <w:rFonts w:hint="eastAsia" w:eastAsia="仿宋_GB2312"/>
          <w:sz w:val="32"/>
          <w:szCs w:val="32"/>
        </w:rPr>
        <w:t>公务用车管理情况</w:t>
      </w:r>
    </w:p>
    <w:p w14:paraId="34DB16EE">
      <w:pPr>
        <w:spacing w:line="560" w:lineRule="exact"/>
        <w:ind w:firstLine="640" w:firstLineChars="200"/>
        <w:rPr>
          <w:rFonts w:eastAsia="仿宋_GB2312"/>
          <w:sz w:val="32"/>
          <w:szCs w:val="32"/>
        </w:rPr>
      </w:pPr>
      <w:r>
        <w:rPr>
          <w:rFonts w:hint="eastAsia" w:ascii="CESI仿宋-GB2312" w:hAnsi="CESI仿宋-GB2312" w:eastAsia="CESI仿宋-GB2312" w:cs="CESI仿宋-GB2312"/>
          <w:sz w:val="32"/>
          <w:szCs w:val="32"/>
        </w:rPr>
        <w:t>一是抓好《南京市党政机关公务用车管理办法》《南京市事业单位公务用车管理办法（试行）》宣贯，严格审批</w:t>
      </w:r>
      <w:r>
        <w:rPr>
          <w:rFonts w:eastAsia="CESI仿宋-GB2312"/>
          <w:sz w:val="32"/>
          <w:szCs w:val="32"/>
        </w:rPr>
        <w:t>2024</w:t>
      </w:r>
      <w:r>
        <w:rPr>
          <w:rFonts w:hint="eastAsia" w:ascii="CESI仿宋-GB2312" w:hAnsi="CESI仿宋-GB2312" w:eastAsia="CESI仿宋-GB2312" w:cs="CESI仿宋-GB2312"/>
          <w:sz w:val="32"/>
          <w:szCs w:val="32"/>
        </w:rPr>
        <w:t>年度党政机关及事业单位公车购置更新计划，压缩年度公车购置数量和经费;二是贯彻市委、市政府支持新能源汽车产业发展要求，推动新能源汽车在行政事业单位广泛应用，全年公车购置中新能源车占比</w:t>
      </w:r>
      <w:r>
        <w:rPr>
          <w:rFonts w:eastAsia="CESI仿宋-GB2312"/>
          <w:sz w:val="32"/>
          <w:szCs w:val="32"/>
        </w:rPr>
        <w:t>89.8</w:t>
      </w:r>
      <w:r>
        <w:rPr>
          <w:rFonts w:hint="eastAsia" w:ascii="CESI仿宋-GB2312" w:hAnsi="CESI仿宋-GB2312" w:eastAsia="CESI仿宋-GB2312" w:cs="CESI仿宋-GB2312"/>
          <w:sz w:val="32"/>
          <w:szCs w:val="32"/>
        </w:rPr>
        <w:t>%;三是抓好常态化制度监督。落实公务车辆信息化管理平台专人巡查机制，及时处理各类预警信息，确保平台安全稳定。</w:t>
      </w:r>
    </w:p>
    <w:p w14:paraId="5086A4DA">
      <w:pPr>
        <w:spacing w:line="560" w:lineRule="exact"/>
        <w:ind w:firstLine="640" w:firstLineChars="200"/>
        <w:rPr>
          <w:rFonts w:eastAsia="仿宋_GB2312"/>
          <w:sz w:val="32"/>
          <w:szCs w:val="32"/>
        </w:rPr>
      </w:pPr>
      <w:r>
        <w:rPr>
          <w:rFonts w:hint="eastAsia" w:eastAsia="仿宋_GB2312"/>
          <w:sz w:val="32"/>
          <w:szCs w:val="32"/>
        </w:rPr>
        <w:t xml:space="preserve">（三）后勤服务监管情况    </w:t>
      </w:r>
    </w:p>
    <w:p w14:paraId="15F5957B">
      <w:pPr>
        <w:spacing w:line="560" w:lineRule="exact"/>
        <w:ind w:firstLine="640" w:firstLineChars="200"/>
        <w:rPr>
          <w:rFonts w:eastAsia="仿宋_GB2312"/>
          <w:sz w:val="32"/>
          <w:szCs w:val="32"/>
        </w:rPr>
      </w:pPr>
      <w:r>
        <w:rPr>
          <w:rFonts w:hint="eastAsia" w:eastAsia="仿宋_GB2312"/>
          <w:sz w:val="32"/>
          <w:szCs w:val="32"/>
        </w:rPr>
        <w:t>一是创新服务管理模式。建立市级机关23家单位集中办公区服务会商机制，集中协调急难愁盼问题，提升服务质效；二是加强标准宣贯与指导。制定颁布江苏省地方标准《党政机关生活垃圾分类管理规范》，修订局《服务质量监督管理办法》《购买后勤服务管理办法》，围绕加强行风建设、改善服务水平、建立标准化管理制度体系等方面，指导直属单位开展服务专项提升行动。三是践行公益责任。面向困难家庭和受灾地区，举办机关干部“废旧物资循环利用”活动，捐赠衣物1900多件。</w:t>
      </w:r>
    </w:p>
    <w:p w14:paraId="278C8633">
      <w:pPr>
        <w:spacing w:line="560" w:lineRule="exact"/>
        <w:ind w:firstLine="640" w:firstLineChars="200"/>
        <w:rPr>
          <w:rFonts w:eastAsia="仿宋_GB2312"/>
          <w:sz w:val="32"/>
          <w:szCs w:val="32"/>
        </w:rPr>
      </w:pPr>
      <w:r>
        <w:rPr>
          <w:rFonts w:hint="eastAsia" w:eastAsia="仿宋_GB2312"/>
          <w:sz w:val="32"/>
          <w:szCs w:val="32"/>
        </w:rPr>
        <w:t>（四）基建任务完成情况</w:t>
      </w:r>
    </w:p>
    <w:p w14:paraId="1C203D9C">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一是推动集中建设工作高质量发展。认真贯彻落实集中建设工作要求，2024年度重点做好南京市老年病防治研究中心项目主体施工，积极与多方沟通推进项目实施；二是稳步推进集中建设项目建设。完成市消防特勤大队一站迁建，汉府饭店和碑亭巷地块资产盘活等相关事项均按计划顺利推进；三是高标准完成各项项目建设。全年开展市级行政事业单位办公用房集中建设项目10项，确保项目工程质量合格，无安全生产责任事故。</w:t>
      </w:r>
    </w:p>
    <w:p w14:paraId="194A61E8">
      <w:pPr>
        <w:spacing w:line="560" w:lineRule="exact"/>
        <w:ind w:firstLine="640" w:firstLineChars="200"/>
        <w:rPr>
          <w:rFonts w:eastAsia="仿宋_GB2312"/>
          <w:sz w:val="32"/>
          <w:szCs w:val="32"/>
        </w:rPr>
      </w:pPr>
      <w:r>
        <w:rPr>
          <w:rFonts w:hint="eastAsia" w:eastAsia="仿宋_GB2312"/>
          <w:sz w:val="32"/>
          <w:szCs w:val="32"/>
        </w:rPr>
        <w:t>（五）机关事务安全生产情况</w:t>
      </w:r>
    </w:p>
    <w:p w14:paraId="02E1D5C0">
      <w:pPr>
        <w:snapToGrid w:val="0"/>
        <w:spacing w:line="560" w:lineRule="exact"/>
        <w:ind w:firstLine="643" w:firstLineChars="200"/>
        <w:rPr>
          <w:rFonts w:ascii="仿宋" w:hAnsi="仿宋" w:eastAsia="仿宋" w:cs="仿宋"/>
          <w:sz w:val="32"/>
          <w:szCs w:val="32"/>
        </w:rPr>
      </w:pPr>
      <w:r>
        <w:rPr>
          <w:rFonts w:hint="eastAsia" w:eastAsia="仿宋"/>
          <w:b/>
          <w:bCs/>
          <w:sz w:val="32"/>
          <w:szCs w:val="32"/>
        </w:rPr>
        <w:t>一是开展隐患排查整治。</w:t>
      </w:r>
      <w:r>
        <w:rPr>
          <w:rFonts w:hint="eastAsia" w:eastAsia="仿宋"/>
          <w:sz w:val="32"/>
          <w:szCs w:val="32"/>
        </w:rPr>
        <w:t>深化“生命至上，隐患必除”、消防安全突出风险隐患大排查大整治行动，开展全市党政机关办公用房安全检查，依照责任清单督导整改。</w:t>
      </w:r>
      <w:r>
        <w:rPr>
          <w:rFonts w:hint="eastAsia" w:eastAsia="仿宋"/>
          <w:b/>
          <w:bCs/>
          <w:sz w:val="32"/>
          <w:szCs w:val="32"/>
        </w:rPr>
        <w:t>二是大力推进专项工作。</w:t>
      </w:r>
      <w:r>
        <w:rPr>
          <w:rFonts w:eastAsia="仿宋_GB2312"/>
          <w:sz w:val="32"/>
          <w:szCs w:val="32"/>
        </w:rPr>
        <w:t>印发《南京市机关事业单位电动自行管理方案》</w:t>
      </w:r>
      <w:r>
        <w:rPr>
          <w:rFonts w:hint="eastAsia" w:eastAsia="仿宋_GB2312"/>
          <w:sz w:val="32"/>
          <w:szCs w:val="32"/>
        </w:rPr>
        <w:t>，组织</w:t>
      </w:r>
      <w:r>
        <w:rPr>
          <w:rFonts w:eastAsia="仿宋_GB2312"/>
          <w:sz w:val="32"/>
          <w:szCs w:val="32"/>
        </w:rPr>
        <w:t>电动自行车安全</w:t>
      </w:r>
      <w:r>
        <w:rPr>
          <w:rFonts w:hint="eastAsia" w:eastAsia="仿宋_GB2312"/>
          <w:sz w:val="32"/>
          <w:szCs w:val="32"/>
        </w:rPr>
        <w:t>知识学习，</w:t>
      </w:r>
      <w:r>
        <w:rPr>
          <w:rFonts w:hint="eastAsia" w:eastAsia="仿宋_GB2312"/>
          <w:sz w:val="32"/>
          <w:szCs w:val="40"/>
        </w:rPr>
        <w:t>加强</w:t>
      </w:r>
      <w:r>
        <w:rPr>
          <w:rFonts w:eastAsia="仿宋_GB2312"/>
          <w:sz w:val="32"/>
          <w:szCs w:val="40"/>
        </w:rPr>
        <w:t>对市级机关集中办公区电动自行车</w:t>
      </w:r>
      <w:r>
        <w:rPr>
          <w:rFonts w:hint="eastAsia" w:eastAsia="仿宋_GB2312"/>
          <w:sz w:val="32"/>
          <w:szCs w:val="40"/>
        </w:rPr>
        <w:t>安全</w:t>
      </w:r>
      <w:r>
        <w:rPr>
          <w:rFonts w:eastAsia="仿宋_GB2312"/>
          <w:sz w:val="32"/>
          <w:szCs w:val="40"/>
        </w:rPr>
        <w:t>检查，</w:t>
      </w:r>
      <w:r>
        <w:rPr>
          <w:rFonts w:eastAsia="仿宋_GB2312"/>
          <w:color w:val="000000"/>
          <w:sz w:val="32"/>
          <w:szCs w:val="32"/>
        </w:rPr>
        <w:t>升级充电场所消防设施</w:t>
      </w:r>
      <w:r>
        <w:rPr>
          <w:rFonts w:hint="eastAsia" w:eastAsia="仿宋_GB2312"/>
          <w:sz w:val="32"/>
          <w:szCs w:val="32"/>
        </w:rPr>
        <w:t>，确保办公区消防安全</w:t>
      </w:r>
      <w:r>
        <w:rPr>
          <w:rFonts w:hint="eastAsia" w:eastAsia="仿宋_GB2312"/>
          <w:sz w:val="32"/>
          <w:szCs w:val="40"/>
        </w:rPr>
        <w:t>。</w:t>
      </w:r>
      <w:r>
        <w:rPr>
          <w:rFonts w:hint="eastAsia" w:eastAsia="仿宋_GB2312"/>
          <w:b/>
          <w:bCs/>
          <w:sz w:val="32"/>
          <w:szCs w:val="40"/>
        </w:rPr>
        <w:t>三是</w:t>
      </w:r>
      <w:r>
        <w:rPr>
          <w:rFonts w:eastAsia="仿宋_GB2312"/>
          <w:b/>
          <w:bCs/>
          <w:sz w:val="32"/>
          <w:szCs w:val="32"/>
        </w:rPr>
        <w:t>组织</w:t>
      </w:r>
      <w:r>
        <w:rPr>
          <w:rFonts w:hint="eastAsia" w:eastAsia="仿宋_GB2312"/>
          <w:b/>
          <w:bCs/>
          <w:sz w:val="32"/>
          <w:szCs w:val="32"/>
        </w:rPr>
        <w:t>安全专题</w:t>
      </w:r>
      <w:r>
        <w:rPr>
          <w:rFonts w:eastAsia="仿宋_GB2312"/>
          <w:b/>
          <w:bCs/>
          <w:sz w:val="32"/>
          <w:szCs w:val="32"/>
        </w:rPr>
        <w:t>培训</w:t>
      </w:r>
      <w:r>
        <w:rPr>
          <w:rFonts w:hint="eastAsia" w:eastAsia="仿宋_GB2312"/>
          <w:b/>
          <w:bCs/>
          <w:sz w:val="32"/>
          <w:szCs w:val="32"/>
        </w:rPr>
        <w:t>。</w:t>
      </w:r>
      <w:r>
        <w:rPr>
          <w:rFonts w:eastAsia="仿宋_GB2312"/>
          <w:sz w:val="32"/>
          <w:szCs w:val="32"/>
        </w:rPr>
        <w:t>召开全市机关事务安全生产暨消防业务培训会</w:t>
      </w:r>
      <w:r>
        <w:rPr>
          <w:rFonts w:hint="eastAsia" w:eastAsia="仿宋_GB2312"/>
          <w:sz w:val="32"/>
          <w:szCs w:val="32"/>
        </w:rPr>
        <w:t>，组织高层建筑消防安全宣传培训并开展</w:t>
      </w:r>
      <w:r>
        <w:rPr>
          <w:rFonts w:eastAsia="仿宋_GB2312"/>
          <w:sz w:val="32"/>
          <w:szCs w:val="40"/>
        </w:rPr>
        <w:t>局直属</w:t>
      </w:r>
      <w:r>
        <w:rPr>
          <w:rFonts w:hint="eastAsia" w:eastAsia="仿宋_GB2312"/>
          <w:sz w:val="32"/>
          <w:szCs w:val="40"/>
        </w:rPr>
        <w:t>单位疏散演练</w:t>
      </w:r>
      <w:r>
        <w:rPr>
          <w:rFonts w:eastAsia="仿宋_GB2312"/>
          <w:sz w:val="32"/>
          <w:szCs w:val="40"/>
        </w:rPr>
        <w:t>，</w:t>
      </w:r>
      <w:r>
        <w:rPr>
          <w:rFonts w:hint="eastAsia" w:eastAsia="仿宋_GB2312"/>
          <w:sz w:val="32"/>
          <w:szCs w:val="40"/>
        </w:rPr>
        <w:t>进一步</w:t>
      </w:r>
      <w:r>
        <w:rPr>
          <w:rFonts w:eastAsia="仿宋_GB2312"/>
          <w:sz w:val="32"/>
          <w:szCs w:val="32"/>
        </w:rPr>
        <w:t>提升一线工作人员应对突发事件的应急处置能力</w:t>
      </w:r>
      <w:r>
        <w:rPr>
          <w:rFonts w:eastAsia="仿宋_GB2312"/>
          <w:sz w:val="32"/>
          <w:szCs w:val="40"/>
        </w:rPr>
        <w:t>。</w:t>
      </w:r>
    </w:p>
    <w:p w14:paraId="76FDCC7B">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（六）机关事务标准化建设情况</w:t>
      </w:r>
    </w:p>
    <w:p w14:paraId="7BE75E25">
      <w:pPr>
        <w:spacing w:line="560" w:lineRule="exact"/>
        <w:ind w:firstLine="640" w:firstLineChars="200"/>
        <w:rPr>
          <w:rFonts w:eastAsia="仿宋_GB2312"/>
          <w:sz w:val="32"/>
          <w:szCs w:val="32"/>
        </w:rPr>
      </w:pPr>
      <w:r>
        <w:rPr>
          <w:rFonts w:hint="eastAsia" w:eastAsia="仿宋_GB2312"/>
          <w:sz w:val="32"/>
          <w:szCs w:val="32"/>
        </w:rPr>
        <w:t>一是组织召开2024年局系统标准化工作座谈会，听取有关标准化工作目标需求和意见建议。邀请市标准化研究院专家分析机关事务行业标准化工作的现状及动态，全面介绍国行地标制定发布情况。二是牵头召集各处室、各直属单位围绕工作职能和岗位职责，梳理并完善工作规范，全面摸清标准化工作基础底账。完善标准化体系架构、强化顶层设计，形成《南京市机关事务管理局推进机关事务标准化建设工作方案（2024—2025年）》。三是国家标准、江苏省地方标准取得突破，参与起草《行政事业单位公物仓建设与运行指南》国家标准、《党政机关生活垃圾分类管理规范》。</w:t>
      </w:r>
    </w:p>
    <w:p w14:paraId="7DE7F267">
      <w:pPr>
        <w:pStyle w:val="3"/>
        <w:numPr>
          <w:ilvl w:val="0"/>
          <w:numId w:val="3"/>
        </w:numPr>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党建工作情况</w:t>
      </w:r>
    </w:p>
    <w:p w14:paraId="093E1744">
      <w:pPr>
        <w:widowControl w:val="0"/>
        <w:autoSpaceDE/>
        <w:autoSpaceDN/>
        <w:snapToGrid w:val="0"/>
        <w:spacing w:line="560" w:lineRule="exact"/>
        <w:ind w:firstLine="640" w:firstLineChars="200"/>
        <w:contextualSpacing/>
        <w:jc w:val="left"/>
        <w:textAlignment w:val="auto"/>
        <w:rPr>
          <w:rFonts w:eastAsia="仿宋_GB2312" w:cs="方正小标宋简体"/>
          <w:sz w:val="32"/>
          <w:szCs w:val="44"/>
        </w:rPr>
      </w:pPr>
      <w:r>
        <w:rPr>
          <w:rFonts w:hint="eastAsia" w:eastAsia="仿宋_GB2312" w:cs="方正小标宋简体"/>
          <w:sz w:val="32"/>
          <w:szCs w:val="44"/>
        </w:rPr>
        <w:t>一是</w:t>
      </w:r>
      <w:r>
        <w:rPr>
          <w:rFonts w:eastAsia="仿宋_GB2312" w:cs="方正小标宋简体"/>
          <w:sz w:val="32"/>
          <w:szCs w:val="44"/>
        </w:rPr>
        <w:t>聚焦政治引领</w:t>
      </w:r>
      <w:r>
        <w:rPr>
          <w:rFonts w:hint="eastAsia" w:eastAsia="仿宋_GB2312" w:cs="方正小标宋简体"/>
          <w:sz w:val="32"/>
          <w:szCs w:val="44"/>
        </w:rPr>
        <w:t>。严格落实“第一议题”制度，组织局党组理论学习中心组16次，专题研讨6次。二是聚焦主责主业。牵头制定完善《党建三级责任清单》，压实党建责任。</w:t>
      </w:r>
      <w:r>
        <w:rPr>
          <w:rFonts w:hint="eastAsia" w:eastAsia="仿宋_GB2312" w:cs="仿宋_GB2312"/>
          <w:sz w:val="32"/>
          <w:szCs w:val="32"/>
        </w:rPr>
        <w:t>组织开展纪律教育专题培训及基层党务干部党务实操培训。</w:t>
      </w:r>
      <w:r>
        <w:rPr>
          <w:rFonts w:hint="eastAsia" w:eastAsia="仿宋_GB2312"/>
          <w:sz w:val="32"/>
          <w:szCs w:val="32"/>
        </w:rPr>
        <w:t>为玻纤院社区</w:t>
      </w:r>
      <w:r>
        <w:rPr>
          <w:rFonts w:eastAsia="仿宋_GB2312"/>
          <w:sz w:val="32"/>
          <w:szCs w:val="32"/>
        </w:rPr>
        <w:t>95</w:t>
      </w:r>
      <w:r>
        <w:rPr>
          <w:rFonts w:hint="eastAsia" w:eastAsia="仿宋_GB2312"/>
          <w:sz w:val="32"/>
          <w:szCs w:val="32"/>
        </w:rPr>
        <w:t>户高龄空巢独居老人安装</w:t>
      </w:r>
      <w:r>
        <w:rPr>
          <w:rFonts w:eastAsia="仿宋_GB2312"/>
          <w:sz w:val="32"/>
          <w:szCs w:val="32"/>
        </w:rPr>
        <w:t>169</w:t>
      </w:r>
      <w:r>
        <w:rPr>
          <w:rFonts w:hint="eastAsia" w:eastAsia="仿宋_GB2312"/>
          <w:sz w:val="32"/>
          <w:szCs w:val="32"/>
        </w:rPr>
        <w:t>个智能养老设备，助力社区治理。三是聚焦“党建+”融合。开展“爱在重阳 情暖桑榆”广场志愿服务活动，撰写《莫让“失独”老人“失暖”》专题文章在《南京调研》刊登，得到市领导批示肯定。四是聚焦作风建设。扎实</w:t>
      </w:r>
      <w:r>
        <w:rPr>
          <w:rFonts w:hint="eastAsia" w:eastAsia="仿宋_GB2312" w:cs="仿宋_GB2312"/>
          <w:sz w:val="32"/>
          <w:szCs w:val="32"/>
        </w:rPr>
        <w:t>开展党纪学习教育，修订完善《局系统廉政风险防控手册》，持续开展好为机关干部“办好十件暖心事”工作。</w:t>
      </w:r>
    </w:p>
    <w:p w14:paraId="56A8831C">
      <w:pPr>
        <w:pStyle w:val="13"/>
        <w:numPr>
          <w:ilvl w:val="0"/>
          <w:numId w:val="4"/>
        </w:numPr>
        <w:spacing w:line="560" w:lineRule="exact"/>
        <w:ind w:firstLine="640"/>
        <w:outlineLvl w:val="1"/>
        <w:rPr>
          <w:rFonts w:eastAsia="仿宋_GB2312"/>
          <w:color w:val="000000" w:themeColor="text1"/>
          <w:sz w:val="32"/>
          <w:szCs w:val="32"/>
        </w:rPr>
      </w:pPr>
      <w:r>
        <w:rPr>
          <w:rFonts w:hint="eastAsia" w:eastAsia="仿宋_GB2312"/>
          <w:sz w:val="32"/>
          <w:szCs w:val="32"/>
        </w:rPr>
        <w:t xml:space="preserve">机关事务法治化建设情况 </w:t>
      </w:r>
    </w:p>
    <w:p w14:paraId="16EE8B6D">
      <w:pPr>
        <w:pStyle w:val="13"/>
        <w:spacing w:line="560" w:lineRule="exact"/>
        <w:ind w:firstLine="640"/>
        <w:outlineLvl w:val="1"/>
        <w:rPr>
          <w:rFonts w:eastAsia="仿宋_GB2312"/>
          <w:color w:val="000000" w:themeColor="text1"/>
          <w:sz w:val="32"/>
          <w:szCs w:val="32"/>
        </w:rPr>
      </w:pPr>
      <w:r>
        <w:rPr>
          <w:rFonts w:hint="eastAsia" w:eastAsia="仿宋_GB2312"/>
          <w:sz w:val="32"/>
          <w:szCs w:val="32"/>
        </w:rPr>
        <w:t>一是持续巩固习近平法治思想学习成效。每季度开展专题学习，制定《关于建立领导干部应知应会法律法规清单制度的通知》，组织新提拔处级干部和新入职公务员开展法律知识学习提升活动。二是深入开展各类法治宣传教育。召开合同示范文本审查座谈会暨合同业务培训会，组织全局系统开展“民法典宣传月”“宪法宣传周”系列学习活动。三是加强法治建设工作组织领导。制定《南京市机关事务管理局2024年法治建设工作要点》，组织开展2023年度局机关和各直属单位党政主要负责人和领导班子成员述法工作。四是常态化开展规章制度清理。持续推行法律顾问和公职律师制度，制定局规章制度制修订年度计划，牵头完成《国有资产管理办法》《服务质量监督管理办法》等制度的立改废。</w:t>
      </w:r>
    </w:p>
    <w:p w14:paraId="2CEE745B">
      <w:pPr>
        <w:pStyle w:val="13"/>
        <w:numPr>
          <w:ilvl w:val="0"/>
          <w:numId w:val="4"/>
        </w:numPr>
        <w:spacing w:line="560" w:lineRule="exact"/>
        <w:ind w:firstLine="640"/>
        <w:outlineLvl w:val="1"/>
        <w:rPr>
          <w:rFonts w:eastAsia="仿宋_GB2312"/>
          <w:color w:val="000000" w:themeColor="text1"/>
          <w:sz w:val="32"/>
          <w:szCs w:val="32"/>
        </w:rPr>
      </w:pPr>
      <w:r>
        <w:rPr>
          <w:rFonts w:hint="eastAsia" w:eastAsia="仿宋_GB2312"/>
          <w:sz w:val="32"/>
          <w:szCs w:val="32"/>
        </w:rPr>
        <w:t>公共机构节能情况</w:t>
      </w:r>
    </w:p>
    <w:p w14:paraId="0D88D66C">
      <w:pPr>
        <w:pStyle w:val="13"/>
        <w:spacing w:line="560" w:lineRule="exact"/>
        <w:ind w:firstLine="640"/>
        <w:outlineLvl w:val="1"/>
        <w:rPr>
          <w:rFonts w:eastAsia="仿宋_GB2312"/>
          <w:sz w:val="32"/>
          <w:szCs w:val="32"/>
        </w:rPr>
      </w:pPr>
      <w:r>
        <w:rPr>
          <w:rFonts w:hint="eastAsia" w:eastAsia="仿宋_GB2312"/>
          <w:sz w:val="32"/>
          <w:szCs w:val="32"/>
        </w:rPr>
        <w:t>一是项目建设再上新台阶。全市公共机构共建成35个分布式光伏项目，总面积11.16万平方米，总装机容量约11.16兆瓦；共完成66处楼宇1132台空调调控终端安装，整体已具备3.1万千瓦调控能力；实施合同能源管理项目6个，改造面积约30.32万平方米。二是标准创新工作有了新进展。宣贯实施了《公共机构食堂反食品浪费成效评估规范》市地方标准；完成了碳普惠平台的开发运行，注册人数达1万人。三是品牌建设有了新收获。2家单位被评为全国绿色低碳公共机构，1家单位被评为国家绿色数据中心，2家单位被评为全国公共机构水效领跑者，1家单位被评为绿色出行宣传月和公交出行宣传周活动先进集体，1个案例被评为公共机构绿色低碳发展典型案例。</w:t>
      </w:r>
    </w:p>
    <w:p w14:paraId="25C69EEB">
      <w:pPr>
        <w:pStyle w:val="13"/>
        <w:numPr>
          <w:ilvl w:val="0"/>
          <w:numId w:val="4"/>
        </w:numPr>
        <w:spacing w:line="560" w:lineRule="exact"/>
        <w:ind w:firstLine="640"/>
        <w:outlineLvl w:val="1"/>
        <w:rPr>
          <w:rFonts w:eastAsia="仿宋_GB2312"/>
          <w:sz w:val="32"/>
          <w:szCs w:val="32"/>
        </w:rPr>
      </w:pPr>
      <w:r>
        <w:rPr>
          <w:rFonts w:hint="eastAsia" w:eastAsia="仿宋_GB2312"/>
          <w:sz w:val="32"/>
          <w:szCs w:val="32"/>
        </w:rPr>
        <w:t>信息化建设情况</w:t>
      </w:r>
    </w:p>
    <w:p w14:paraId="745B9C54">
      <w:pPr>
        <w:pStyle w:val="13"/>
        <w:spacing w:line="560" w:lineRule="exact"/>
        <w:ind w:firstLine="640"/>
        <w:outlineLvl w:val="1"/>
        <w:rPr>
          <w:rFonts w:eastAsia="仿宋_GB2312"/>
          <w:sz w:val="32"/>
          <w:szCs w:val="32"/>
        </w:rPr>
      </w:pPr>
      <w:r>
        <w:rPr>
          <w:rFonts w:hint="eastAsia" w:eastAsia="仿宋_GB2312"/>
          <w:sz w:val="32"/>
          <w:szCs w:val="32"/>
        </w:rPr>
        <w:t>一是完成“勤惟宁”数字化服务平台建设和上线工作。通过对原服务平台进行升级改版，进一步提升“一网通办”质效。二是推进信息化集中统管工作。认真落实《南京市智慧机关事务管理系统集中统管办法》，实现局机关信息化系统集中运维采购，确保运维服务高质高效。三是开展年度信息化建设。深入推进机关事务“一网统管”工作，完成智慧机关管理系统（2023）项目终验。四是做好网络安全与信息化基础保障工作。组织局系统网络安全和云平台数据维护培训，委托第三方机构对全局互联网资产进行漏洞扫描和渗透测试，提升网络安全防护能力。</w:t>
      </w:r>
    </w:p>
    <w:p w14:paraId="7C4066FE">
      <w:pPr>
        <w:numPr>
          <w:ilvl w:val="0"/>
          <w:numId w:val="4"/>
        </w:numPr>
        <w:spacing w:line="560" w:lineRule="exact"/>
        <w:ind w:firstLine="640" w:firstLineChars="200"/>
        <w:rPr>
          <w:rFonts w:eastAsia="仿宋_GB2312"/>
          <w:sz w:val="32"/>
          <w:szCs w:val="32"/>
        </w:rPr>
      </w:pPr>
      <w:r>
        <w:rPr>
          <w:rFonts w:hint="eastAsia" w:eastAsia="仿宋_GB2312"/>
          <w:sz w:val="32"/>
          <w:szCs w:val="32"/>
        </w:rPr>
        <w:t>人力资源建设情况</w:t>
      </w:r>
    </w:p>
    <w:p w14:paraId="1E0BAB8A">
      <w:pPr>
        <w:spacing w:line="560" w:lineRule="exact"/>
        <w:ind w:firstLine="640" w:firstLineChars="200"/>
        <w:rPr>
          <w:rFonts w:eastAsia="仿宋_GB2312"/>
          <w:sz w:val="32"/>
          <w:szCs w:val="32"/>
        </w:rPr>
      </w:pPr>
      <w:r>
        <w:rPr>
          <w:rFonts w:hint="eastAsia" w:eastAsia="仿宋_GB2312"/>
          <w:sz w:val="32"/>
          <w:szCs w:val="32"/>
        </w:rPr>
        <w:t>一是按照全市统一部署，完成年度公务员考录、军转干部安置等工作，指导并做好直属事业单位公开招聘工作，着力引进各类专业人才。二是持续深入推进干部综合提升工程，组织开展干部选拔任用和职级晋升工作，加强部分直属事业单位领导班子配备，合理配置干部资源，优化干部队伍结构。三是优化局机关工作人员平时考核和年度考核方式，特别加强处室主要负责同志平时履职情况考核，围绕年度重点任务，精细设置各类指标，以考促干，不断激发调动干部干事热情。四是举办学习贯彻党的二十届三中全会精神集中培训班，强化理论素养，拓宽眼界视野，提升干部综合能力。</w:t>
      </w:r>
    </w:p>
    <w:p w14:paraId="55076E56">
      <w:pPr>
        <w:numPr>
          <w:ilvl w:val="0"/>
          <w:numId w:val="4"/>
        </w:numPr>
        <w:spacing w:line="560" w:lineRule="exact"/>
        <w:ind w:firstLine="640" w:firstLineChars="200"/>
        <w:rPr>
          <w:rFonts w:eastAsia="仿宋_GB2312"/>
          <w:sz w:val="32"/>
          <w:szCs w:val="32"/>
        </w:rPr>
      </w:pPr>
      <w:r>
        <w:rPr>
          <w:rFonts w:hint="eastAsia" w:eastAsia="仿宋_GB2312"/>
          <w:sz w:val="32"/>
          <w:szCs w:val="32"/>
        </w:rPr>
        <w:t>过紧日子落实情况</w:t>
      </w:r>
    </w:p>
    <w:p w14:paraId="680A1A4C">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是强化过紧日子制度建设，联合市财政局向全市印发《关于进一步压减机关运行成本提高运行效能工作举措》，制定管理局过紧日子资金管理清单28条，明确资金用途、使用标准及保障范围。二是持续优化预算资金结构，在年初预算基础上压减项目经费10%，提高项目资金使用效益。三是发挥公物仓在过紧日子中的作用，全年调剂使用市本级公物仓资产771件（套），大大</w:t>
      </w:r>
      <w:r>
        <w:rPr>
          <w:rFonts w:eastAsia="仿宋_GB2312"/>
          <w:sz w:val="32"/>
          <w:szCs w:val="32"/>
        </w:rPr>
        <w:t>节约财政资金</w:t>
      </w:r>
      <w:r>
        <w:rPr>
          <w:rFonts w:hint="eastAsia" w:ascii="仿宋" w:hAnsi="仿宋" w:eastAsia="仿宋" w:cs="仿宋"/>
          <w:sz w:val="32"/>
          <w:szCs w:val="32"/>
        </w:rPr>
        <w:t>。四是从源头入手，会同市财政局研究明确物业管理定额费用、公务用车更新条件等多项标准。五是探索公务用车和通用资产以旧换新路径，积极开展党政机关过紧日子评估体系标准化建设。</w:t>
      </w:r>
    </w:p>
    <w:p w14:paraId="0DA604E7">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四、存在问题及原因分析</w:t>
      </w:r>
    </w:p>
    <w:p w14:paraId="3A2B82DD">
      <w:pPr>
        <w:spacing w:line="560" w:lineRule="exact"/>
        <w:ind w:firstLine="640" w:firstLineChars="200"/>
        <w:rPr>
          <w:rFonts w:eastAsia="仿宋_GB2312"/>
          <w:sz w:val="32"/>
          <w:szCs w:val="32"/>
        </w:rPr>
      </w:pPr>
      <w:r>
        <w:rPr>
          <w:rFonts w:hint="eastAsia" w:eastAsia="仿宋_GB2312"/>
          <w:sz w:val="32"/>
          <w:szCs w:val="32"/>
        </w:rPr>
        <w:t>部分项目预算执行推进有偏差。主要原因是</w:t>
      </w:r>
      <w:r>
        <w:rPr>
          <w:rFonts w:hint="eastAsia" w:eastAsia="仿宋_GB2312"/>
          <w:sz w:val="32"/>
          <w:szCs w:val="32"/>
          <w:lang w:eastAsia="zh-CN"/>
        </w:rPr>
        <w:t>落实过紧日子要求，结合</w:t>
      </w:r>
      <w:r>
        <w:rPr>
          <w:rFonts w:hint="eastAsia" w:eastAsia="仿宋_GB2312"/>
          <w:sz w:val="32"/>
          <w:szCs w:val="32"/>
        </w:rPr>
        <w:t>年中工作</w:t>
      </w:r>
      <w:r>
        <w:rPr>
          <w:rFonts w:hint="eastAsia" w:eastAsia="仿宋_GB2312"/>
          <w:sz w:val="32"/>
          <w:szCs w:val="32"/>
          <w:lang w:eastAsia="zh-CN"/>
        </w:rPr>
        <w:t>安排</w:t>
      </w:r>
      <w:r>
        <w:rPr>
          <w:rFonts w:hint="eastAsia" w:eastAsia="仿宋_GB2312"/>
          <w:sz w:val="32"/>
          <w:szCs w:val="32"/>
        </w:rPr>
        <w:t>对当年项目预算进行了结构优化。</w:t>
      </w:r>
    </w:p>
    <w:p w14:paraId="092473C7">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五、有关建议</w:t>
      </w:r>
    </w:p>
    <w:p w14:paraId="0131D0EF">
      <w:pPr>
        <w:snapToGrid w:val="0"/>
        <w:spacing w:line="560" w:lineRule="exact"/>
        <w:ind w:firstLine="640" w:firstLineChars="200"/>
        <w:rPr>
          <w:rFonts w:eastAsia="仿宋_GB2312"/>
          <w:sz w:val="32"/>
          <w:szCs w:val="32"/>
        </w:rPr>
      </w:pPr>
      <w:r>
        <w:rPr>
          <w:rFonts w:hint="eastAsia" w:ascii="仿宋" w:hAnsi="仿宋" w:eastAsia="仿宋"/>
          <w:sz w:val="32"/>
          <w:szCs w:val="32"/>
        </w:rPr>
        <w:t>继续落实过紧日子要求，提高项目预算编制的科学性和严谨性，发挥</w:t>
      </w:r>
      <w:r>
        <w:rPr>
          <w:rFonts w:hint="eastAsia" w:eastAsia="仿宋_GB2312"/>
          <w:sz w:val="32"/>
          <w:szCs w:val="32"/>
        </w:rPr>
        <w:t>项目事前绩效评估的有效性，</w:t>
      </w:r>
      <w:r>
        <w:rPr>
          <w:rFonts w:hint="eastAsia" w:ascii="仿宋" w:hAnsi="仿宋" w:eastAsia="仿宋"/>
          <w:sz w:val="32"/>
          <w:szCs w:val="32"/>
        </w:rPr>
        <w:t>加强预算监督，</w:t>
      </w:r>
      <w:r>
        <w:rPr>
          <w:rFonts w:hint="eastAsia" w:eastAsia="仿宋_GB2312"/>
          <w:sz w:val="32"/>
          <w:szCs w:val="32"/>
        </w:rPr>
        <w:t>确保财政资金使用效益最大化。</w:t>
      </w:r>
    </w:p>
    <w:p w14:paraId="36EE3BEE">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六、评价工作开展情况及其他需说明的情况</w:t>
      </w:r>
    </w:p>
    <w:p w14:paraId="172E15CE">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（一）基本情况</w:t>
      </w:r>
    </w:p>
    <w:p w14:paraId="63896774">
      <w:pPr>
        <w:widowControl w:val="0"/>
        <w:spacing w:line="560" w:lineRule="exact"/>
        <w:ind w:firstLine="640" w:firstLineChars="200"/>
        <w:rPr>
          <w:rFonts w:eastAsia="仿宋_GB2312"/>
          <w:sz w:val="32"/>
          <w:szCs w:val="32"/>
        </w:rPr>
      </w:pPr>
      <w:r>
        <w:rPr>
          <w:rFonts w:hint="eastAsia" w:eastAsia="仿宋_GB2312"/>
          <w:sz w:val="32"/>
          <w:szCs w:val="32"/>
        </w:rPr>
        <w:t>1.评价目的</w:t>
      </w:r>
    </w:p>
    <w:p w14:paraId="69F8F529">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开展部门整体绩效评价是全面贯彻落实《中共江苏省委 江苏省人民政府关于全面实施预算绩效管理的实施意见》的重要举措。根据</w:t>
      </w:r>
      <w:r>
        <w:rPr>
          <w:rFonts w:hint="eastAsia" w:ascii="仿宋_GB2312" w:hAnsi="仿宋_GB2312" w:eastAsia="仿宋_GB2312" w:cs="仿宋_GB2312"/>
          <w:sz w:val="32"/>
          <w:szCs w:val="32"/>
        </w:rPr>
        <w:t>《2025年南京市市级预算部门（单位）预算绩效管理责任清单》（宁财绩〔2025〕106号）</w:t>
      </w:r>
      <w:r>
        <w:rPr>
          <w:rFonts w:hint="eastAsia" w:eastAsia="仿宋_GB2312"/>
          <w:sz w:val="32"/>
          <w:szCs w:val="32"/>
        </w:rPr>
        <w:t>要求，开展部门整体绩效评价的目的是“促进部门从整体提升预算绩效管理工作水平及使用效益，保障部门更好地履行职责”，具体包括：</w:t>
      </w:r>
    </w:p>
    <w:p w14:paraId="68BF503A">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1）通过对部门整体绩效评价，可以发现部门管理的薄弱环节，促进其改进和创新管理方式，提高管理效能和管理质量。同时，发现部门在提供公共服务方面存在的短板和不足，为有效提高财政资金配置水平和提升政府公共服务质量做出积极探索。</w:t>
      </w:r>
    </w:p>
    <w:p w14:paraId="0E35369C">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2）部门整体绩效评价更加关注部门财政资金的预算安排的合理性和整体效益，例如，资金结构与部门职能的匹配程度、预算规模对部门绩效目标实现的保障水平、资金的支出与部门所提供的公共服务的支持程度等。因此，部门整体绩效评价的覆盖面更广、层次更深，更能综合反映部门财政资金的综合效益。</w:t>
      </w:r>
    </w:p>
    <w:p w14:paraId="3A35E06F">
      <w:pPr>
        <w:widowControl w:val="0"/>
        <w:spacing w:line="560" w:lineRule="exact"/>
        <w:ind w:firstLine="640" w:firstLineChars="200"/>
        <w:rPr>
          <w:rFonts w:eastAsia="仿宋_GB2312"/>
          <w:sz w:val="32"/>
          <w:szCs w:val="32"/>
        </w:rPr>
      </w:pPr>
      <w:r>
        <w:rPr>
          <w:rFonts w:hint="eastAsia" w:eastAsia="仿宋_GB2312"/>
          <w:sz w:val="32"/>
          <w:szCs w:val="32"/>
        </w:rPr>
        <w:t>2.评价对象及范围</w:t>
      </w:r>
    </w:p>
    <w:p w14:paraId="028CC451">
      <w:pPr>
        <w:widowControl w:val="0"/>
        <w:spacing w:line="560" w:lineRule="exact"/>
        <w:ind w:firstLine="640" w:firstLineChars="200"/>
        <w:rPr>
          <w:rFonts w:eastAsia="仿宋_GB2312"/>
          <w:sz w:val="32"/>
          <w:szCs w:val="32"/>
        </w:rPr>
      </w:pPr>
      <w:r>
        <w:rPr>
          <w:rFonts w:hint="eastAsia" w:eastAsia="仿宋_GB2312"/>
          <w:sz w:val="32"/>
          <w:szCs w:val="32"/>
        </w:rPr>
        <w:t>2024年度部门预算和部门所管理的专项资金。</w:t>
      </w:r>
    </w:p>
    <w:p w14:paraId="59872060">
      <w:pPr>
        <w:widowControl w:val="0"/>
        <w:spacing w:line="560" w:lineRule="exact"/>
        <w:ind w:firstLine="640" w:firstLineChars="200"/>
        <w:rPr>
          <w:rFonts w:eastAsia="仿宋_GB2312"/>
          <w:sz w:val="32"/>
          <w:szCs w:val="32"/>
        </w:rPr>
      </w:pPr>
      <w:r>
        <w:rPr>
          <w:rFonts w:hint="eastAsia" w:eastAsia="仿宋_GB2312"/>
          <w:sz w:val="32"/>
          <w:szCs w:val="32"/>
        </w:rPr>
        <w:t>3.评价原则</w:t>
      </w:r>
    </w:p>
    <w:p w14:paraId="4441B2B0">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（1）科学规范原则。注重财政支出的经济性、效率性和有效性，采用定量与定性相结合的方法。</w:t>
      </w:r>
    </w:p>
    <w:p w14:paraId="169C8644">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（2）公开公正原则。客观、公正，标准统一、数据资料真实可靠，公开并接受监督。</w:t>
      </w:r>
    </w:p>
    <w:p w14:paraId="2ACE382C">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（3）问题导向原则。发现问题、分析问题和解决问题,程序与结果并重。</w:t>
      </w:r>
    </w:p>
    <w:p w14:paraId="61C5A547">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（4）统一管理原则。自觉接受财政部门统一组织管理。</w:t>
      </w:r>
    </w:p>
    <w:p w14:paraId="64B91D4A">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（5）绩效相关原则。针对具体投入及其产出绩效进行，评价结果清晰反映投入和绩效之间的对应关系。</w:t>
      </w:r>
    </w:p>
    <w:p w14:paraId="72265750">
      <w:pPr>
        <w:widowControl w:val="0"/>
        <w:spacing w:line="560" w:lineRule="exact"/>
        <w:ind w:firstLine="640" w:firstLineChars="200"/>
        <w:rPr>
          <w:rFonts w:eastAsia="仿宋_GB2312"/>
          <w:sz w:val="32"/>
          <w:szCs w:val="32"/>
        </w:rPr>
      </w:pPr>
      <w:r>
        <w:rPr>
          <w:rFonts w:hint="eastAsia" w:eastAsia="仿宋_GB2312"/>
          <w:sz w:val="32"/>
          <w:szCs w:val="32"/>
        </w:rPr>
        <w:t>4.评价方法</w:t>
      </w:r>
    </w:p>
    <w:p w14:paraId="54832EEE">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综合运用成本效益分析法、因素分析法等方法，具体通过资料梳理、调研访谈、制定评价指标和标准、数据采集、等方                                        式进行部门整体支出绩效综合评价。评价指标采取定量与定性相结合、优先定量的原则。</w:t>
      </w:r>
    </w:p>
    <w:p w14:paraId="5520EEBB">
      <w:pPr>
        <w:widowControl w:val="0"/>
        <w:spacing w:line="560" w:lineRule="exact"/>
        <w:ind w:firstLine="640" w:firstLineChars="200"/>
        <w:rPr>
          <w:rFonts w:eastAsia="仿宋_GB2312"/>
          <w:sz w:val="32"/>
          <w:szCs w:val="32"/>
        </w:rPr>
      </w:pPr>
      <w:r>
        <w:rPr>
          <w:rFonts w:hint="eastAsia" w:eastAsia="仿宋_GB2312"/>
          <w:sz w:val="32"/>
          <w:szCs w:val="32"/>
        </w:rPr>
        <w:t>5.评价指标体系</w:t>
      </w:r>
    </w:p>
    <w:p w14:paraId="72369895">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评价以南京市财政局《2024年度南京市市级预算部门（单位）绩效管理工作要求》（宁财绩〔2024〕72号）为指引，结合管理局特点，从“部门决策、部门管理、部门履职、履职绩效、可持续发展能力”五个维度设计指标，其中“部门决策”“部门管理”两类指标参照了南京市财政局规定的共性指标。“部门履职”“履职绩效”“可持续发展能力”三类指标充分考虑了管理局职能特点和年度重点工作任务等内容。</w:t>
      </w:r>
    </w:p>
    <w:p w14:paraId="59763EB4">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评价通过设计评价指标、制定评价标准以及评分规则等，形成了一套较为完整的绩效评价指标体系。指标设计遵循了相关性、可比性、重要性的原则，以财政资金管理使用为主线，沿着资金的使用前、使用中、使用后的逻辑路径，力求涵盖部门的目标任务、预算配置、预算执行、预算管理、资产管理、职责履行和履职效益等内容。</w:t>
      </w:r>
    </w:p>
    <w:p w14:paraId="7B88ED2B">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（二）评价组织实施</w:t>
      </w:r>
    </w:p>
    <w:p w14:paraId="607622FE">
      <w:pPr>
        <w:widowControl w:val="0"/>
        <w:spacing w:line="560" w:lineRule="exact"/>
        <w:ind w:firstLine="640" w:firstLineChars="200"/>
        <w:rPr>
          <w:rFonts w:eastAsia="仿宋_GB2312"/>
          <w:sz w:val="32"/>
          <w:szCs w:val="32"/>
        </w:rPr>
      </w:pPr>
      <w:r>
        <w:rPr>
          <w:rFonts w:hint="eastAsia" w:eastAsia="仿宋_GB2312"/>
          <w:sz w:val="32"/>
          <w:szCs w:val="32"/>
        </w:rPr>
        <w:t>1.前期准备情况</w:t>
      </w:r>
    </w:p>
    <w:p w14:paraId="65B1235C">
      <w:pPr>
        <w:widowControl w:val="0"/>
        <w:overflowPunct/>
        <w:autoSpaceDE/>
        <w:autoSpaceDN/>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局分管领导、局财务处（资产管理处）、办公室（机关事务信息处）、人事教育处（审计处）等处室相关人员，在去年开展自评价要求的基础上，通过现场调研，调查了解政策背景、资金规模、实施内容、范围及期限、绩效目标以及项目的组织实施管理等情况，初步确定评价总体工作思路，并形成绩效评价工作方案初稿。</w:t>
      </w:r>
    </w:p>
    <w:p w14:paraId="4331B3F5">
      <w:pPr>
        <w:widowControl w:val="0"/>
        <w:overflowPunct/>
        <w:autoSpaceDE/>
        <w:autoSpaceDN/>
        <w:snapToGrid w:val="0"/>
        <w:spacing w:line="560" w:lineRule="exact"/>
        <w:ind w:firstLine="640" w:firstLineChars="200"/>
        <w:textAlignment w:val="auto"/>
        <w:rPr>
          <w:rFonts w:hint="eastAsia" w:eastAsia="仿宋_GB2312"/>
          <w:sz w:val="32"/>
          <w:szCs w:val="32"/>
        </w:rPr>
      </w:pPr>
    </w:p>
    <w:p w14:paraId="53E560DD">
      <w:pPr>
        <w:widowControl w:val="0"/>
        <w:spacing w:line="560" w:lineRule="exact"/>
        <w:ind w:firstLine="640" w:firstLineChars="200"/>
        <w:rPr>
          <w:rFonts w:eastAsia="仿宋_GB2312"/>
          <w:sz w:val="32"/>
          <w:szCs w:val="32"/>
        </w:rPr>
      </w:pPr>
      <w:r>
        <w:rPr>
          <w:rFonts w:hint="eastAsia" w:eastAsia="仿宋_GB2312"/>
          <w:sz w:val="32"/>
          <w:szCs w:val="32"/>
        </w:rPr>
        <w:t>2.现场核查情况</w:t>
      </w:r>
    </w:p>
    <w:p w14:paraId="6494218E">
      <w:pPr>
        <w:widowControl w:val="0"/>
        <w:spacing w:line="560" w:lineRule="exact"/>
        <w:rPr>
          <w:rFonts w:eastAsia="仿宋_GB2312"/>
          <w:sz w:val="32"/>
          <w:szCs w:val="32"/>
        </w:rPr>
      </w:pPr>
      <w:r>
        <w:rPr>
          <w:rFonts w:hint="eastAsia" w:eastAsia="仿宋_GB2312"/>
          <w:sz w:val="32"/>
          <w:szCs w:val="32"/>
        </w:rPr>
        <w:t xml:space="preserve">   （1）现场查阅、复核。对管理局整体绩效相关资料进查阅并核实，对所掌握的资料进行分析。</w:t>
      </w:r>
    </w:p>
    <w:p w14:paraId="71597D18">
      <w:pPr>
        <w:widowControl w:val="0"/>
        <w:spacing w:line="560" w:lineRule="exact"/>
        <w:rPr>
          <w:rFonts w:eastAsia="仿宋_GB2312"/>
          <w:sz w:val="32"/>
          <w:szCs w:val="32"/>
        </w:rPr>
      </w:pPr>
      <w:r>
        <w:rPr>
          <w:rFonts w:hint="eastAsia" w:eastAsia="仿宋_GB2312"/>
          <w:sz w:val="32"/>
          <w:szCs w:val="32"/>
        </w:rPr>
        <w:t xml:space="preserve">   （2）访谈和调查。对各处室负责人等进行访谈，探讨部门决策、部门管理、部门履职、履职绩效、可持续发展能力等方面的亮点和不足。</w:t>
      </w:r>
    </w:p>
    <w:p w14:paraId="549F395E">
      <w:pPr>
        <w:widowControl w:val="0"/>
        <w:spacing w:line="560" w:lineRule="exact"/>
        <w:ind w:firstLine="640" w:firstLineChars="200"/>
        <w:rPr>
          <w:rFonts w:eastAsia="仿宋_GB2312"/>
          <w:sz w:val="32"/>
          <w:szCs w:val="32"/>
        </w:rPr>
      </w:pPr>
      <w:r>
        <w:rPr>
          <w:rFonts w:hint="eastAsia" w:eastAsia="仿宋_GB2312"/>
          <w:sz w:val="32"/>
          <w:szCs w:val="32"/>
        </w:rPr>
        <w:t>3.资料信息汇总及评价分析</w:t>
      </w:r>
    </w:p>
    <w:p w14:paraId="40B85EE9">
      <w:pPr>
        <w:widowControl w:val="0"/>
        <w:spacing w:line="560" w:lineRule="exact"/>
        <w:ind w:firstLine="640" w:firstLineChars="200"/>
        <w:rPr>
          <w:rFonts w:eastAsia="仿宋_GB2312"/>
          <w:sz w:val="32"/>
          <w:szCs w:val="32"/>
        </w:rPr>
      </w:pPr>
      <w:r>
        <w:rPr>
          <w:rFonts w:hint="eastAsia" w:eastAsia="仿宋_GB2312"/>
          <w:sz w:val="32"/>
          <w:szCs w:val="32"/>
        </w:rPr>
        <w:t>汇总分析评价数据，依据制订的评价标准和打分规则，对管理局整体绩效进行分析以及量化打分。</w:t>
      </w:r>
    </w:p>
    <w:p w14:paraId="2B3CDADF">
      <w:pPr>
        <w:widowControl w:val="0"/>
        <w:spacing w:line="560" w:lineRule="exact"/>
        <w:ind w:firstLine="640" w:firstLineChars="200"/>
        <w:rPr>
          <w:rFonts w:eastAsia="仿宋_GB2312"/>
          <w:sz w:val="32"/>
          <w:szCs w:val="32"/>
        </w:rPr>
      </w:pPr>
      <w:r>
        <w:rPr>
          <w:rFonts w:hint="eastAsia" w:eastAsia="仿宋_GB2312"/>
          <w:sz w:val="32"/>
          <w:szCs w:val="32"/>
        </w:rPr>
        <w:t>4.出具报告</w:t>
      </w:r>
    </w:p>
    <w:p w14:paraId="2B05F913">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根据资料信息汇总及评价分析结果，出具正式绩效评价报告。</w:t>
      </w:r>
    </w:p>
    <w:p w14:paraId="6FE795AB">
      <w:pPr>
        <w:widowControl w:val="0"/>
        <w:spacing w:line="560" w:lineRule="exact"/>
        <w:rPr>
          <w:rFonts w:eastAsia="仿宋_GB2312"/>
          <w:sz w:val="32"/>
          <w:szCs w:val="32"/>
        </w:rPr>
      </w:pPr>
    </w:p>
    <w:p w14:paraId="7802A82E">
      <w:pPr>
        <w:widowControl w:val="0"/>
        <w:overflowPunct/>
        <w:autoSpaceDE/>
        <w:autoSpaceDN/>
        <w:snapToGrid w:val="0"/>
        <w:spacing w:line="560" w:lineRule="exact"/>
        <w:ind w:firstLine="645"/>
        <w:textAlignment w:val="auto"/>
        <w:rPr>
          <w:rFonts w:eastAsia="仿宋_GB2312"/>
          <w:sz w:val="32"/>
          <w:szCs w:val="32"/>
        </w:rPr>
      </w:pPr>
      <w:r>
        <w:rPr>
          <w:rFonts w:hint="eastAsia" w:eastAsia="仿宋_GB2312"/>
          <w:sz w:val="32"/>
          <w:szCs w:val="32"/>
        </w:rPr>
        <w:t>附件：《南京市机关事务管理局2024年度部门整体绩效综合评价表》</w:t>
      </w:r>
    </w:p>
    <w:p w14:paraId="4ECA129A">
      <w:pPr>
        <w:pStyle w:val="5"/>
        <w:spacing w:line="560" w:lineRule="exact"/>
        <w:rPr>
          <w:rFonts w:eastAsia="仿宋_GB2312"/>
          <w:sz w:val="32"/>
          <w:szCs w:val="32"/>
        </w:rPr>
      </w:pPr>
    </w:p>
    <w:p w14:paraId="61D5831D">
      <w:pPr>
        <w:pStyle w:val="5"/>
        <w:spacing w:line="560" w:lineRule="exact"/>
        <w:rPr>
          <w:rFonts w:eastAsia="仿宋_GB2312"/>
          <w:sz w:val="32"/>
          <w:szCs w:val="32"/>
        </w:rPr>
      </w:pPr>
    </w:p>
    <w:p w14:paraId="5CC00656">
      <w:pPr>
        <w:pStyle w:val="5"/>
        <w:spacing w:line="560" w:lineRule="exact"/>
        <w:rPr>
          <w:rFonts w:eastAsia="仿宋_GB2312"/>
          <w:sz w:val="32"/>
          <w:szCs w:val="32"/>
        </w:rPr>
      </w:pPr>
    </w:p>
    <w:p w14:paraId="0A064475">
      <w:pPr>
        <w:pStyle w:val="5"/>
        <w:spacing w:line="560" w:lineRule="exact"/>
        <w:rPr>
          <w:rFonts w:eastAsia="仿宋_GB2312"/>
          <w:sz w:val="32"/>
          <w:szCs w:val="32"/>
        </w:rPr>
      </w:pPr>
    </w:p>
    <w:p w14:paraId="43AED9B1">
      <w:pPr>
        <w:pStyle w:val="5"/>
        <w:spacing w:line="560" w:lineRule="exact"/>
        <w:rPr>
          <w:rFonts w:eastAsia="仿宋_GB2312"/>
          <w:sz w:val="32"/>
          <w:szCs w:val="32"/>
        </w:rPr>
      </w:pPr>
    </w:p>
    <w:p w14:paraId="36F7E1B3">
      <w:pPr>
        <w:pStyle w:val="5"/>
        <w:spacing w:line="560" w:lineRule="exact"/>
        <w:rPr>
          <w:rFonts w:eastAsia="仿宋_GB2312"/>
          <w:sz w:val="32"/>
          <w:szCs w:val="32"/>
        </w:rPr>
      </w:pPr>
    </w:p>
    <w:p w14:paraId="37D65817">
      <w:pPr>
        <w:pStyle w:val="5"/>
        <w:spacing w:line="560" w:lineRule="exact"/>
        <w:rPr>
          <w:rFonts w:eastAsia="仿宋_GB2312"/>
          <w:sz w:val="32"/>
          <w:szCs w:val="32"/>
        </w:rPr>
      </w:pPr>
    </w:p>
    <w:p w14:paraId="544C4707">
      <w:pPr>
        <w:pStyle w:val="5"/>
        <w:spacing w:line="560" w:lineRule="exact"/>
        <w:rPr>
          <w:rFonts w:eastAsia="仿宋_GB2312"/>
          <w:sz w:val="32"/>
          <w:szCs w:val="32"/>
        </w:rPr>
      </w:pPr>
    </w:p>
    <w:p w14:paraId="5158947A">
      <w:pPr>
        <w:widowControl w:val="0"/>
        <w:overflowPunct/>
        <w:autoSpaceDE/>
        <w:autoSpaceDN/>
        <w:snapToGrid w:val="0"/>
        <w:spacing w:line="560" w:lineRule="exact"/>
        <w:ind w:firstLine="645"/>
        <w:textAlignment w:val="auto"/>
        <w:rPr>
          <w:rFonts w:ascii="仿宋" w:hAnsi="仿宋" w:eastAsia="仿宋" w:cs="仿宋_GB2312"/>
          <w:szCs w:val="21"/>
        </w:rPr>
      </w:pPr>
      <w:r>
        <w:rPr>
          <w:rFonts w:hint="eastAsia" w:ascii="仿宋" w:hAnsi="仿宋" w:eastAsia="仿宋" w:cs="仿宋_GB2312"/>
          <w:szCs w:val="21"/>
        </w:rPr>
        <w:t>附件：</w:t>
      </w:r>
    </w:p>
    <w:p w14:paraId="135A692F">
      <w:pPr>
        <w:widowControl w:val="0"/>
        <w:overflowPunct/>
        <w:autoSpaceDE/>
        <w:autoSpaceDN/>
        <w:snapToGrid w:val="0"/>
        <w:spacing w:line="560" w:lineRule="exact"/>
        <w:ind w:firstLine="645"/>
        <w:jc w:val="center"/>
        <w:textAlignment w:val="auto"/>
        <w:rPr>
          <w:rFonts w:hint="eastAsia" w:ascii="仿宋" w:hAnsi="仿宋" w:eastAsia="仿宋"/>
          <w:szCs w:val="21"/>
        </w:rPr>
      </w:pPr>
      <w:r>
        <w:rPr>
          <w:rFonts w:hint="eastAsia" w:ascii="仿宋" w:hAnsi="仿宋" w:eastAsia="仿宋"/>
          <w:szCs w:val="21"/>
        </w:rPr>
        <w:t>南京市机关事务管理局2024年度部门整体绩效综合评价表</w:t>
      </w:r>
    </w:p>
    <w:p w14:paraId="438E96C8">
      <w:pPr>
        <w:widowControl w:val="0"/>
        <w:overflowPunct/>
        <w:autoSpaceDE/>
        <w:autoSpaceDN/>
        <w:snapToGrid w:val="0"/>
        <w:spacing w:line="560" w:lineRule="exact"/>
        <w:ind w:firstLine="645"/>
        <w:jc w:val="center"/>
        <w:textAlignment w:val="auto"/>
        <w:rPr>
          <w:rFonts w:hint="eastAsia" w:ascii="仿宋" w:hAnsi="仿宋" w:eastAsia="仿宋"/>
          <w:szCs w:val="21"/>
        </w:rPr>
      </w:pPr>
      <w:r>
        <w:drawing>
          <wp:anchor distT="0" distB="0" distL="114300" distR="114300" simplePos="0" relativeHeight="251659264" behindDoc="0" locked="0" layoutInCell="1" allowOverlap="1">
            <wp:simplePos x="0" y="0"/>
            <wp:positionH relativeFrom="column">
              <wp:posOffset>39370</wp:posOffset>
            </wp:positionH>
            <wp:positionV relativeFrom="paragraph">
              <wp:posOffset>52070</wp:posOffset>
            </wp:positionV>
            <wp:extent cx="5683885" cy="7688580"/>
            <wp:effectExtent l="0" t="0" r="1206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83885" cy="7688580"/>
                    </a:xfrm>
                    <a:prstGeom prst="rect">
                      <a:avLst/>
                    </a:prstGeom>
                    <a:noFill/>
                    <a:ln>
                      <a:noFill/>
                    </a:ln>
                  </pic:spPr>
                </pic:pic>
              </a:graphicData>
            </a:graphic>
          </wp:anchor>
        </w:drawing>
      </w:r>
    </w:p>
    <w:p w14:paraId="338EA38D">
      <w:pPr>
        <w:pStyle w:val="5"/>
        <w:spacing w:line="560" w:lineRule="exact"/>
      </w:pPr>
    </w:p>
    <w:p w14:paraId="3C2D3748">
      <w:pPr>
        <w:widowControl w:val="0"/>
        <w:overflowPunct/>
        <w:autoSpaceDE/>
        <w:autoSpaceDN/>
        <w:snapToGrid w:val="0"/>
        <w:spacing w:line="560" w:lineRule="exact"/>
        <w:ind w:firstLine="645"/>
        <w:textAlignment w:val="auto"/>
        <w:rPr>
          <w:szCs w:val="32"/>
        </w:rPr>
      </w:pPr>
    </w:p>
    <w:p w14:paraId="626592DE">
      <w:pPr>
        <w:pStyle w:val="5"/>
        <w:spacing w:line="560" w:lineRule="exact"/>
      </w:pPr>
    </w:p>
    <w:p w14:paraId="40785F57">
      <w:pPr>
        <w:pStyle w:val="5"/>
        <w:spacing w:line="560" w:lineRule="exact"/>
      </w:pPr>
    </w:p>
    <w:p w14:paraId="4DE344B9">
      <w:pPr>
        <w:pStyle w:val="5"/>
        <w:spacing w:line="560" w:lineRule="exact"/>
      </w:pPr>
    </w:p>
    <w:p w14:paraId="142D4ECF">
      <w:pPr>
        <w:pStyle w:val="5"/>
        <w:spacing w:line="560" w:lineRule="exact"/>
      </w:pPr>
    </w:p>
    <w:p w14:paraId="1ACFB4AE">
      <w:pPr>
        <w:pStyle w:val="5"/>
        <w:spacing w:line="560" w:lineRule="exact"/>
      </w:pPr>
    </w:p>
    <w:p w14:paraId="2A12C07C">
      <w:pPr>
        <w:pStyle w:val="5"/>
        <w:spacing w:line="560" w:lineRule="exact"/>
      </w:pPr>
    </w:p>
    <w:p w14:paraId="5E775BE9">
      <w:pPr>
        <w:pStyle w:val="5"/>
        <w:spacing w:line="560" w:lineRule="exact"/>
      </w:pPr>
    </w:p>
    <w:p w14:paraId="4202AF44">
      <w:pPr>
        <w:pStyle w:val="5"/>
        <w:spacing w:line="560" w:lineRule="exact"/>
        <w:rPr>
          <w:rFonts w:hint="eastAsia"/>
        </w:rPr>
      </w:pPr>
    </w:p>
    <w:p w14:paraId="070EFE41">
      <w:pPr>
        <w:pStyle w:val="5"/>
        <w:spacing w:line="560" w:lineRule="exact"/>
        <w:rPr>
          <w:rFonts w:hint="eastAsia"/>
        </w:rPr>
      </w:pPr>
    </w:p>
    <w:p w14:paraId="7B3B7536">
      <w:pPr>
        <w:pStyle w:val="5"/>
        <w:spacing w:line="560" w:lineRule="exact"/>
        <w:rPr>
          <w:rFonts w:hint="eastAsia"/>
        </w:rPr>
      </w:pPr>
    </w:p>
    <w:p w14:paraId="5E059E62">
      <w:pPr>
        <w:pStyle w:val="5"/>
        <w:spacing w:line="560" w:lineRule="exact"/>
        <w:rPr>
          <w:rFonts w:hint="eastAsia"/>
        </w:rPr>
      </w:pPr>
    </w:p>
    <w:p w14:paraId="09F97F18">
      <w:pPr>
        <w:pStyle w:val="5"/>
        <w:spacing w:line="560" w:lineRule="exact"/>
        <w:rPr>
          <w:rFonts w:hint="eastAsia"/>
        </w:rPr>
      </w:pPr>
    </w:p>
    <w:p w14:paraId="2AAD20D9">
      <w:pPr>
        <w:pStyle w:val="5"/>
        <w:spacing w:line="560" w:lineRule="exact"/>
        <w:rPr>
          <w:rFonts w:hint="eastAsia"/>
        </w:rPr>
      </w:pPr>
    </w:p>
    <w:p w14:paraId="733A2E96">
      <w:pPr>
        <w:pStyle w:val="5"/>
        <w:spacing w:line="560" w:lineRule="exact"/>
        <w:rPr>
          <w:rFonts w:hint="eastAsia"/>
        </w:rPr>
      </w:pPr>
    </w:p>
    <w:p w14:paraId="16806016">
      <w:pPr>
        <w:pStyle w:val="5"/>
        <w:spacing w:line="560" w:lineRule="exact"/>
        <w:rPr>
          <w:rFonts w:hint="eastAsia"/>
        </w:rPr>
      </w:pPr>
    </w:p>
    <w:p w14:paraId="52FBC97B">
      <w:pPr>
        <w:pStyle w:val="5"/>
        <w:spacing w:line="560" w:lineRule="exact"/>
        <w:rPr>
          <w:rFonts w:hint="eastAsia"/>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41275</wp:posOffset>
            </wp:positionV>
            <wp:extent cx="5683885" cy="8478520"/>
            <wp:effectExtent l="0" t="0" r="12065" b="177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683885" cy="8478520"/>
                    </a:xfrm>
                    <a:prstGeom prst="rect">
                      <a:avLst/>
                    </a:prstGeom>
                    <a:noFill/>
                    <a:ln>
                      <a:noFill/>
                    </a:ln>
                  </pic:spPr>
                </pic:pic>
              </a:graphicData>
            </a:graphic>
          </wp:anchor>
        </w:drawing>
      </w:r>
    </w:p>
    <w:p w14:paraId="66A3100F">
      <w:pPr>
        <w:pStyle w:val="5"/>
        <w:spacing w:line="560" w:lineRule="exact"/>
        <w:rPr>
          <w:rFonts w:hint="eastAsia"/>
        </w:rPr>
      </w:pPr>
    </w:p>
    <w:p w14:paraId="58361CE1">
      <w:pPr>
        <w:pStyle w:val="5"/>
        <w:spacing w:line="560" w:lineRule="exact"/>
        <w:rPr>
          <w:rFonts w:hint="eastAsia"/>
        </w:rPr>
      </w:pPr>
    </w:p>
    <w:p w14:paraId="5B008447">
      <w:pPr>
        <w:pStyle w:val="5"/>
        <w:spacing w:line="560" w:lineRule="exact"/>
        <w:rPr>
          <w:rFonts w:hint="eastAsia"/>
        </w:rPr>
      </w:pPr>
    </w:p>
    <w:p w14:paraId="1BD4D9AE">
      <w:pPr>
        <w:pStyle w:val="5"/>
        <w:spacing w:line="560" w:lineRule="exact"/>
        <w:rPr>
          <w:rFonts w:hint="eastAsia"/>
        </w:rPr>
      </w:pPr>
    </w:p>
    <w:p w14:paraId="748CAA4F">
      <w:pPr>
        <w:pStyle w:val="5"/>
        <w:spacing w:line="560" w:lineRule="exact"/>
        <w:rPr>
          <w:rFonts w:hint="eastAsia"/>
        </w:rPr>
      </w:pPr>
    </w:p>
    <w:p w14:paraId="3DF171E4">
      <w:pPr>
        <w:pStyle w:val="5"/>
        <w:spacing w:line="560" w:lineRule="exact"/>
        <w:rPr>
          <w:rFonts w:hint="eastAsia"/>
        </w:rPr>
      </w:pPr>
    </w:p>
    <w:p w14:paraId="6A9A7D0A">
      <w:pPr>
        <w:pStyle w:val="5"/>
        <w:spacing w:line="560" w:lineRule="exact"/>
        <w:rPr>
          <w:rFonts w:hint="eastAsia"/>
        </w:rPr>
      </w:pPr>
    </w:p>
    <w:p w14:paraId="3D06C7EB">
      <w:pPr>
        <w:pStyle w:val="5"/>
        <w:spacing w:line="560" w:lineRule="exact"/>
        <w:rPr>
          <w:rFonts w:hint="eastAsia"/>
        </w:rPr>
      </w:pPr>
    </w:p>
    <w:p w14:paraId="01B69FCA">
      <w:pPr>
        <w:pStyle w:val="5"/>
        <w:spacing w:line="560" w:lineRule="exact"/>
        <w:rPr>
          <w:rFonts w:hint="eastAsia"/>
        </w:rPr>
      </w:pPr>
    </w:p>
    <w:p w14:paraId="0B2CB5D4">
      <w:pPr>
        <w:pStyle w:val="5"/>
        <w:spacing w:line="560" w:lineRule="exact"/>
        <w:rPr>
          <w:rFonts w:hint="eastAsia"/>
        </w:rPr>
      </w:pPr>
    </w:p>
    <w:p w14:paraId="3E7F7479">
      <w:pPr>
        <w:pStyle w:val="5"/>
        <w:spacing w:line="560" w:lineRule="exact"/>
        <w:rPr>
          <w:rFonts w:hint="eastAsia"/>
        </w:rPr>
      </w:pPr>
    </w:p>
    <w:p w14:paraId="0ECF21FA">
      <w:pPr>
        <w:pStyle w:val="5"/>
        <w:spacing w:line="560" w:lineRule="exact"/>
        <w:rPr>
          <w:rFonts w:hint="eastAsia"/>
        </w:rPr>
      </w:pPr>
    </w:p>
    <w:p w14:paraId="7E5DBB93">
      <w:pPr>
        <w:pStyle w:val="5"/>
        <w:spacing w:line="560" w:lineRule="exact"/>
        <w:rPr>
          <w:rFonts w:hint="eastAsia"/>
        </w:rPr>
      </w:pPr>
    </w:p>
    <w:p w14:paraId="2BD11C9F">
      <w:pPr>
        <w:pStyle w:val="5"/>
        <w:spacing w:line="560" w:lineRule="exact"/>
        <w:rPr>
          <w:rFonts w:hint="eastAsia"/>
        </w:rPr>
      </w:pPr>
    </w:p>
    <w:p w14:paraId="04938E36">
      <w:pPr>
        <w:pStyle w:val="5"/>
        <w:spacing w:line="560" w:lineRule="exact"/>
        <w:rPr>
          <w:rFonts w:hint="eastAsia"/>
        </w:rPr>
      </w:pPr>
    </w:p>
    <w:p w14:paraId="1969C687">
      <w:pPr>
        <w:pStyle w:val="5"/>
        <w:spacing w:line="560" w:lineRule="exact"/>
        <w:rPr>
          <w:rFonts w:hint="eastAsia"/>
        </w:rPr>
      </w:pPr>
    </w:p>
    <w:p w14:paraId="4D141880">
      <w:pPr>
        <w:pStyle w:val="5"/>
        <w:spacing w:line="560" w:lineRule="exact"/>
        <w:rPr>
          <w:rFonts w:hint="eastAsia"/>
        </w:rPr>
      </w:pPr>
    </w:p>
    <w:p w14:paraId="572B16D1">
      <w:pPr>
        <w:pStyle w:val="5"/>
        <w:spacing w:line="560" w:lineRule="exact"/>
        <w:rPr>
          <w:rFonts w:hint="eastAsia"/>
        </w:rPr>
      </w:pPr>
    </w:p>
    <w:p w14:paraId="3A02086E">
      <w:pPr>
        <w:pStyle w:val="5"/>
        <w:spacing w:line="560" w:lineRule="exact"/>
        <w:rPr>
          <w:rFonts w:hint="eastAsia"/>
        </w:rPr>
      </w:pPr>
      <w:r>
        <w:drawing>
          <wp:anchor distT="0" distB="0" distL="114300" distR="114300" simplePos="0" relativeHeight="251661312" behindDoc="0" locked="0" layoutInCell="1" allowOverlap="1">
            <wp:simplePos x="0" y="0"/>
            <wp:positionH relativeFrom="column">
              <wp:posOffset>635</wp:posOffset>
            </wp:positionH>
            <wp:positionV relativeFrom="paragraph">
              <wp:posOffset>100330</wp:posOffset>
            </wp:positionV>
            <wp:extent cx="5683885" cy="8394065"/>
            <wp:effectExtent l="0" t="0" r="12065"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683885" cy="8394065"/>
                    </a:xfrm>
                    <a:prstGeom prst="rect">
                      <a:avLst/>
                    </a:prstGeom>
                    <a:noFill/>
                    <a:ln>
                      <a:noFill/>
                    </a:ln>
                  </pic:spPr>
                </pic:pic>
              </a:graphicData>
            </a:graphic>
          </wp:anchor>
        </w:drawing>
      </w:r>
    </w:p>
    <w:p w14:paraId="622A1938">
      <w:pPr>
        <w:pStyle w:val="5"/>
        <w:spacing w:line="560" w:lineRule="exact"/>
        <w:rPr>
          <w:rFonts w:hint="eastAsia"/>
        </w:rPr>
      </w:pPr>
    </w:p>
    <w:p w14:paraId="4A39D3B8">
      <w:pPr>
        <w:pStyle w:val="5"/>
        <w:spacing w:line="560" w:lineRule="exact"/>
        <w:rPr>
          <w:rFonts w:hint="eastAsia"/>
        </w:rPr>
      </w:pPr>
    </w:p>
    <w:p w14:paraId="54445A92">
      <w:pPr>
        <w:pStyle w:val="5"/>
        <w:spacing w:line="560" w:lineRule="exact"/>
        <w:rPr>
          <w:rFonts w:hint="eastAsia"/>
        </w:rPr>
      </w:pPr>
    </w:p>
    <w:p w14:paraId="4E68D33E">
      <w:pPr>
        <w:pStyle w:val="5"/>
        <w:spacing w:line="560" w:lineRule="exact"/>
      </w:pPr>
      <w:bookmarkStart w:id="4" w:name="_GoBack"/>
      <w:bookmarkEnd w:id="4"/>
    </w:p>
    <w:sectPr>
      <w:footerReference r:id="rId3" w:type="default"/>
      <w:pgSz w:w="11906" w:h="16838"/>
      <w:pgMar w:top="1701" w:right="1474" w:bottom="1701"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557087D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805026"/>
    </w:sdtPr>
    <w:sdtContent>
      <w:p w14:paraId="54A3CF25">
        <w:pPr>
          <w:pStyle w:val="7"/>
          <w:jc w:val="center"/>
        </w:pPr>
        <w:r>
          <w:fldChar w:fldCharType="begin"/>
        </w:r>
        <w:r>
          <w:instrText xml:space="preserve">PAGE   \* MERGEFORMAT</w:instrText>
        </w:r>
        <w:r>
          <w:fldChar w:fldCharType="separate"/>
        </w:r>
        <w:r>
          <w:rPr>
            <w:lang w:val="zh-CN"/>
          </w:rPr>
          <w:t>14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2EF31"/>
    <w:multiLevelType w:val="singleLevel"/>
    <w:tmpl w:val="CDC2EF31"/>
    <w:lvl w:ilvl="0" w:tentative="0">
      <w:start w:val="3"/>
      <w:numFmt w:val="decimal"/>
      <w:suff w:val="space"/>
      <w:lvlText w:val="%1."/>
      <w:lvlJc w:val="left"/>
    </w:lvl>
  </w:abstractNum>
  <w:abstractNum w:abstractNumId="1">
    <w:nsid w:val="D6F24069"/>
    <w:multiLevelType w:val="singleLevel"/>
    <w:tmpl w:val="D6F24069"/>
    <w:lvl w:ilvl="0" w:tentative="0">
      <w:start w:val="8"/>
      <w:numFmt w:val="chineseCounting"/>
      <w:suff w:val="nothing"/>
      <w:lvlText w:val="（%1）"/>
      <w:lvlJc w:val="left"/>
      <w:rPr>
        <w:rFonts w:hint="eastAsia"/>
      </w:rPr>
    </w:lvl>
  </w:abstractNum>
  <w:abstractNum w:abstractNumId="2">
    <w:nsid w:val="E0CEA436"/>
    <w:multiLevelType w:val="singleLevel"/>
    <w:tmpl w:val="E0CEA436"/>
    <w:lvl w:ilvl="0" w:tentative="0">
      <w:start w:val="2"/>
      <w:numFmt w:val="chineseCounting"/>
      <w:suff w:val="nothing"/>
      <w:lvlText w:val="（%1）"/>
      <w:lvlJc w:val="left"/>
      <w:rPr>
        <w:rFonts w:hint="eastAsia"/>
      </w:rPr>
    </w:lvl>
  </w:abstractNum>
  <w:abstractNum w:abstractNumId="3">
    <w:nsid w:val="38555CD7"/>
    <w:multiLevelType w:val="singleLevel"/>
    <w:tmpl w:val="38555CD7"/>
    <w:lvl w:ilvl="0" w:tentative="0">
      <w:start w:val="7"/>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YWIzOGQ4ODBkMzgwNDE5MDZiOTNjNmEyNDczMDQifQ=="/>
  </w:docVars>
  <w:rsids>
    <w:rsidRoot w:val="2A140BDB"/>
    <w:rsid w:val="0002080B"/>
    <w:rsid w:val="00023D23"/>
    <w:rsid w:val="00033D05"/>
    <w:rsid w:val="00035489"/>
    <w:rsid w:val="000500A1"/>
    <w:rsid w:val="00056784"/>
    <w:rsid w:val="00060FAA"/>
    <w:rsid w:val="000A7294"/>
    <w:rsid w:val="000B6A68"/>
    <w:rsid w:val="000C0AE3"/>
    <w:rsid w:val="000C33BD"/>
    <w:rsid w:val="000E78D2"/>
    <w:rsid w:val="000F3BB6"/>
    <w:rsid w:val="000F5645"/>
    <w:rsid w:val="001231CC"/>
    <w:rsid w:val="0012557B"/>
    <w:rsid w:val="0013075B"/>
    <w:rsid w:val="00137DE9"/>
    <w:rsid w:val="00147135"/>
    <w:rsid w:val="00153A91"/>
    <w:rsid w:val="00156F6B"/>
    <w:rsid w:val="001570FF"/>
    <w:rsid w:val="00163FD5"/>
    <w:rsid w:val="00171F49"/>
    <w:rsid w:val="001B3E13"/>
    <w:rsid w:val="001B51E1"/>
    <w:rsid w:val="001C6B07"/>
    <w:rsid w:val="001D0FC6"/>
    <w:rsid w:val="001D438D"/>
    <w:rsid w:val="001E0F70"/>
    <w:rsid w:val="002269A5"/>
    <w:rsid w:val="00227F28"/>
    <w:rsid w:val="0023786F"/>
    <w:rsid w:val="00240931"/>
    <w:rsid w:val="00264411"/>
    <w:rsid w:val="00287DCE"/>
    <w:rsid w:val="002970D8"/>
    <w:rsid w:val="002A3B8E"/>
    <w:rsid w:val="002B78CC"/>
    <w:rsid w:val="002D2147"/>
    <w:rsid w:val="002D2BC0"/>
    <w:rsid w:val="002F191D"/>
    <w:rsid w:val="00315B30"/>
    <w:rsid w:val="00315F94"/>
    <w:rsid w:val="0032154E"/>
    <w:rsid w:val="00326AA7"/>
    <w:rsid w:val="00370905"/>
    <w:rsid w:val="003857A8"/>
    <w:rsid w:val="003A6C40"/>
    <w:rsid w:val="003C546B"/>
    <w:rsid w:val="003D58F0"/>
    <w:rsid w:val="003E0CCA"/>
    <w:rsid w:val="003E27E7"/>
    <w:rsid w:val="003F2E2D"/>
    <w:rsid w:val="003F4E67"/>
    <w:rsid w:val="003F5028"/>
    <w:rsid w:val="003F5817"/>
    <w:rsid w:val="0040743B"/>
    <w:rsid w:val="00411964"/>
    <w:rsid w:val="00411FC2"/>
    <w:rsid w:val="0042187D"/>
    <w:rsid w:val="004238D7"/>
    <w:rsid w:val="0044206E"/>
    <w:rsid w:val="004452B2"/>
    <w:rsid w:val="004463DD"/>
    <w:rsid w:val="004541C8"/>
    <w:rsid w:val="00495226"/>
    <w:rsid w:val="004D3024"/>
    <w:rsid w:val="004D3934"/>
    <w:rsid w:val="004D7F83"/>
    <w:rsid w:val="004E2416"/>
    <w:rsid w:val="004E4DB9"/>
    <w:rsid w:val="004E596F"/>
    <w:rsid w:val="005245FA"/>
    <w:rsid w:val="0052702B"/>
    <w:rsid w:val="00534837"/>
    <w:rsid w:val="00546CA2"/>
    <w:rsid w:val="00552A38"/>
    <w:rsid w:val="00572C76"/>
    <w:rsid w:val="005B417C"/>
    <w:rsid w:val="005B5D18"/>
    <w:rsid w:val="005E6544"/>
    <w:rsid w:val="005F3626"/>
    <w:rsid w:val="00607541"/>
    <w:rsid w:val="00654573"/>
    <w:rsid w:val="00655515"/>
    <w:rsid w:val="00684DF0"/>
    <w:rsid w:val="006A5D19"/>
    <w:rsid w:val="006B120F"/>
    <w:rsid w:val="006B794B"/>
    <w:rsid w:val="006D3501"/>
    <w:rsid w:val="007047F5"/>
    <w:rsid w:val="0070583E"/>
    <w:rsid w:val="00713425"/>
    <w:rsid w:val="00716D06"/>
    <w:rsid w:val="00720E6C"/>
    <w:rsid w:val="00744F44"/>
    <w:rsid w:val="0077428C"/>
    <w:rsid w:val="0078151B"/>
    <w:rsid w:val="00785B96"/>
    <w:rsid w:val="007878D2"/>
    <w:rsid w:val="007929A6"/>
    <w:rsid w:val="00797CA5"/>
    <w:rsid w:val="007B1026"/>
    <w:rsid w:val="007B5DD2"/>
    <w:rsid w:val="007C2B8F"/>
    <w:rsid w:val="007C5A7A"/>
    <w:rsid w:val="007C7973"/>
    <w:rsid w:val="007F2E33"/>
    <w:rsid w:val="007F79D8"/>
    <w:rsid w:val="00806EFA"/>
    <w:rsid w:val="00807611"/>
    <w:rsid w:val="00877E2A"/>
    <w:rsid w:val="0089207F"/>
    <w:rsid w:val="008A1245"/>
    <w:rsid w:val="008A776B"/>
    <w:rsid w:val="008B2739"/>
    <w:rsid w:val="008E5901"/>
    <w:rsid w:val="00907329"/>
    <w:rsid w:val="0092564A"/>
    <w:rsid w:val="00932C1D"/>
    <w:rsid w:val="009564B9"/>
    <w:rsid w:val="00961F24"/>
    <w:rsid w:val="00962BDC"/>
    <w:rsid w:val="0098172D"/>
    <w:rsid w:val="0098331D"/>
    <w:rsid w:val="00987EB3"/>
    <w:rsid w:val="009C137A"/>
    <w:rsid w:val="009C45D1"/>
    <w:rsid w:val="00A206CD"/>
    <w:rsid w:val="00A301E4"/>
    <w:rsid w:val="00A37518"/>
    <w:rsid w:val="00A53096"/>
    <w:rsid w:val="00A53D5C"/>
    <w:rsid w:val="00A570B8"/>
    <w:rsid w:val="00A6744B"/>
    <w:rsid w:val="00A676C3"/>
    <w:rsid w:val="00A67E62"/>
    <w:rsid w:val="00A706C8"/>
    <w:rsid w:val="00A7600C"/>
    <w:rsid w:val="00A9171C"/>
    <w:rsid w:val="00AC6EDA"/>
    <w:rsid w:val="00AD1395"/>
    <w:rsid w:val="00AD7C66"/>
    <w:rsid w:val="00AE59D7"/>
    <w:rsid w:val="00AE7639"/>
    <w:rsid w:val="00B0182E"/>
    <w:rsid w:val="00B040AE"/>
    <w:rsid w:val="00B10C67"/>
    <w:rsid w:val="00B169FF"/>
    <w:rsid w:val="00B16B25"/>
    <w:rsid w:val="00B355F4"/>
    <w:rsid w:val="00B361E3"/>
    <w:rsid w:val="00B46BCA"/>
    <w:rsid w:val="00B47A7C"/>
    <w:rsid w:val="00B51640"/>
    <w:rsid w:val="00B7122A"/>
    <w:rsid w:val="00B72C20"/>
    <w:rsid w:val="00B822B0"/>
    <w:rsid w:val="00B91AC7"/>
    <w:rsid w:val="00B97AA2"/>
    <w:rsid w:val="00BA580E"/>
    <w:rsid w:val="00BB0849"/>
    <w:rsid w:val="00BD13F0"/>
    <w:rsid w:val="00BE5B61"/>
    <w:rsid w:val="00BF4BB3"/>
    <w:rsid w:val="00BF5A62"/>
    <w:rsid w:val="00BF6583"/>
    <w:rsid w:val="00C00AA0"/>
    <w:rsid w:val="00C06981"/>
    <w:rsid w:val="00C07636"/>
    <w:rsid w:val="00C31EA0"/>
    <w:rsid w:val="00C53C36"/>
    <w:rsid w:val="00C554FD"/>
    <w:rsid w:val="00C66494"/>
    <w:rsid w:val="00C9451F"/>
    <w:rsid w:val="00C975AC"/>
    <w:rsid w:val="00CB2C9C"/>
    <w:rsid w:val="00CC2B7E"/>
    <w:rsid w:val="00CD257F"/>
    <w:rsid w:val="00CE4EE7"/>
    <w:rsid w:val="00CE7BC8"/>
    <w:rsid w:val="00D07E59"/>
    <w:rsid w:val="00D10907"/>
    <w:rsid w:val="00D175D9"/>
    <w:rsid w:val="00D17C94"/>
    <w:rsid w:val="00D20CB2"/>
    <w:rsid w:val="00D31173"/>
    <w:rsid w:val="00D31A2C"/>
    <w:rsid w:val="00D436AB"/>
    <w:rsid w:val="00D572C0"/>
    <w:rsid w:val="00D705C1"/>
    <w:rsid w:val="00D7790E"/>
    <w:rsid w:val="00DB10D2"/>
    <w:rsid w:val="00DB280F"/>
    <w:rsid w:val="00DB3A2F"/>
    <w:rsid w:val="00DB500C"/>
    <w:rsid w:val="00DD55E0"/>
    <w:rsid w:val="00DD62E9"/>
    <w:rsid w:val="00DF75C4"/>
    <w:rsid w:val="00E13968"/>
    <w:rsid w:val="00E37457"/>
    <w:rsid w:val="00E4285C"/>
    <w:rsid w:val="00E54A5D"/>
    <w:rsid w:val="00E82B74"/>
    <w:rsid w:val="00E95BB4"/>
    <w:rsid w:val="00EC0C88"/>
    <w:rsid w:val="00EC10FB"/>
    <w:rsid w:val="00F00EC2"/>
    <w:rsid w:val="00F1119A"/>
    <w:rsid w:val="00F115E0"/>
    <w:rsid w:val="00F13561"/>
    <w:rsid w:val="00F25355"/>
    <w:rsid w:val="00F72D05"/>
    <w:rsid w:val="00F7341E"/>
    <w:rsid w:val="00F763B8"/>
    <w:rsid w:val="00F768FB"/>
    <w:rsid w:val="00F80D8B"/>
    <w:rsid w:val="00FA7ADD"/>
    <w:rsid w:val="00FB2D5B"/>
    <w:rsid w:val="00FB3950"/>
    <w:rsid w:val="00FC4378"/>
    <w:rsid w:val="00FC50B6"/>
    <w:rsid w:val="00FF4571"/>
    <w:rsid w:val="01091C05"/>
    <w:rsid w:val="010F49DF"/>
    <w:rsid w:val="01264FE9"/>
    <w:rsid w:val="014B44F6"/>
    <w:rsid w:val="017460A8"/>
    <w:rsid w:val="01A4014E"/>
    <w:rsid w:val="01B24106"/>
    <w:rsid w:val="01CB2E36"/>
    <w:rsid w:val="01CC1A40"/>
    <w:rsid w:val="01DD20EC"/>
    <w:rsid w:val="01DF24E6"/>
    <w:rsid w:val="01E41D52"/>
    <w:rsid w:val="02314EAA"/>
    <w:rsid w:val="027125E7"/>
    <w:rsid w:val="029C1412"/>
    <w:rsid w:val="02B86095"/>
    <w:rsid w:val="02CE515F"/>
    <w:rsid w:val="02E006AC"/>
    <w:rsid w:val="02ED1C6E"/>
    <w:rsid w:val="02F0175E"/>
    <w:rsid w:val="02F87F95"/>
    <w:rsid w:val="03053E30"/>
    <w:rsid w:val="032A2EC2"/>
    <w:rsid w:val="03394EB3"/>
    <w:rsid w:val="039D0572"/>
    <w:rsid w:val="03B94B5C"/>
    <w:rsid w:val="040000C7"/>
    <w:rsid w:val="041616A2"/>
    <w:rsid w:val="044F0706"/>
    <w:rsid w:val="0472779E"/>
    <w:rsid w:val="04892E54"/>
    <w:rsid w:val="04CD6C68"/>
    <w:rsid w:val="050B12EA"/>
    <w:rsid w:val="050E1D0F"/>
    <w:rsid w:val="052C62E6"/>
    <w:rsid w:val="05810D93"/>
    <w:rsid w:val="05B661F2"/>
    <w:rsid w:val="05C0366A"/>
    <w:rsid w:val="05D621F8"/>
    <w:rsid w:val="06122BE4"/>
    <w:rsid w:val="062956B3"/>
    <w:rsid w:val="067759EA"/>
    <w:rsid w:val="068E3CC8"/>
    <w:rsid w:val="06941C32"/>
    <w:rsid w:val="07CC279A"/>
    <w:rsid w:val="08032C30"/>
    <w:rsid w:val="08157B45"/>
    <w:rsid w:val="08935065"/>
    <w:rsid w:val="08DA6B0E"/>
    <w:rsid w:val="09376339"/>
    <w:rsid w:val="094F4F07"/>
    <w:rsid w:val="0A2B2EE4"/>
    <w:rsid w:val="0A4A4017"/>
    <w:rsid w:val="0A7809B7"/>
    <w:rsid w:val="0AD61B81"/>
    <w:rsid w:val="0AFF69E2"/>
    <w:rsid w:val="0B04224A"/>
    <w:rsid w:val="0B2E5519"/>
    <w:rsid w:val="0B5C3E34"/>
    <w:rsid w:val="0B794B84"/>
    <w:rsid w:val="0B7C44D7"/>
    <w:rsid w:val="0B932AD5"/>
    <w:rsid w:val="0BA650B0"/>
    <w:rsid w:val="0BAB08D0"/>
    <w:rsid w:val="0BB974D9"/>
    <w:rsid w:val="0BC263E3"/>
    <w:rsid w:val="0BFD1C00"/>
    <w:rsid w:val="0C161A76"/>
    <w:rsid w:val="0C525237"/>
    <w:rsid w:val="0C7B478E"/>
    <w:rsid w:val="0C8C699B"/>
    <w:rsid w:val="0C9422A9"/>
    <w:rsid w:val="0CAE2998"/>
    <w:rsid w:val="0CAF5694"/>
    <w:rsid w:val="0DAD6BC9"/>
    <w:rsid w:val="0DB55A04"/>
    <w:rsid w:val="0DC840D0"/>
    <w:rsid w:val="0E2055ED"/>
    <w:rsid w:val="0E3C1CFB"/>
    <w:rsid w:val="0E651252"/>
    <w:rsid w:val="0E996591"/>
    <w:rsid w:val="0EC031AB"/>
    <w:rsid w:val="0F2F6501"/>
    <w:rsid w:val="0F5445FA"/>
    <w:rsid w:val="0F84395A"/>
    <w:rsid w:val="0F851480"/>
    <w:rsid w:val="0FB82F1F"/>
    <w:rsid w:val="0FD2172E"/>
    <w:rsid w:val="104D6BCE"/>
    <w:rsid w:val="105E41AB"/>
    <w:rsid w:val="11140D0D"/>
    <w:rsid w:val="1121761E"/>
    <w:rsid w:val="116D4EB2"/>
    <w:rsid w:val="1178129C"/>
    <w:rsid w:val="11A9487A"/>
    <w:rsid w:val="11AA68BD"/>
    <w:rsid w:val="11C26637"/>
    <w:rsid w:val="11E46932"/>
    <w:rsid w:val="11E701D0"/>
    <w:rsid w:val="12011447"/>
    <w:rsid w:val="121E4FC7"/>
    <w:rsid w:val="122B4561"/>
    <w:rsid w:val="123D3F35"/>
    <w:rsid w:val="129D1771"/>
    <w:rsid w:val="12AE39E4"/>
    <w:rsid w:val="13280AA0"/>
    <w:rsid w:val="13573157"/>
    <w:rsid w:val="135A334F"/>
    <w:rsid w:val="1367781A"/>
    <w:rsid w:val="13873A19"/>
    <w:rsid w:val="142B3BC0"/>
    <w:rsid w:val="14586CE5"/>
    <w:rsid w:val="14661880"/>
    <w:rsid w:val="14B4083D"/>
    <w:rsid w:val="14CA0061"/>
    <w:rsid w:val="14F50E56"/>
    <w:rsid w:val="14FD7780"/>
    <w:rsid w:val="15074F11"/>
    <w:rsid w:val="1522319E"/>
    <w:rsid w:val="153B2D0D"/>
    <w:rsid w:val="157D60E1"/>
    <w:rsid w:val="15C471A6"/>
    <w:rsid w:val="1617214C"/>
    <w:rsid w:val="16707AF8"/>
    <w:rsid w:val="16E57B9B"/>
    <w:rsid w:val="172779EC"/>
    <w:rsid w:val="177D53E4"/>
    <w:rsid w:val="17AE418C"/>
    <w:rsid w:val="17BB0135"/>
    <w:rsid w:val="17DF02C7"/>
    <w:rsid w:val="183D3240"/>
    <w:rsid w:val="18974B72"/>
    <w:rsid w:val="18B66366"/>
    <w:rsid w:val="18CB61AC"/>
    <w:rsid w:val="18E87059"/>
    <w:rsid w:val="18FC2B3B"/>
    <w:rsid w:val="197D7D98"/>
    <w:rsid w:val="19C21C4E"/>
    <w:rsid w:val="1A092872"/>
    <w:rsid w:val="1A1911FD"/>
    <w:rsid w:val="1A3348FA"/>
    <w:rsid w:val="1A8567D8"/>
    <w:rsid w:val="1B19247D"/>
    <w:rsid w:val="1BD21EF1"/>
    <w:rsid w:val="1BE92D93"/>
    <w:rsid w:val="1C450915"/>
    <w:rsid w:val="1C5E185E"/>
    <w:rsid w:val="1C76287C"/>
    <w:rsid w:val="1C7F5BD5"/>
    <w:rsid w:val="1CB533A4"/>
    <w:rsid w:val="1CCE6BA8"/>
    <w:rsid w:val="1D014DE9"/>
    <w:rsid w:val="1D29454B"/>
    <w:rsid w:val="1D6D3C7F"/>
    <w:rsid w:val="1D744EA5"/>
    <w:rsid w:val="1D8C65A7"/>
    <w:rsid w:val="1DA371EB"/>
    <w:rsid w:val="1DD737EE"/>
    <w:rsid w:val="1E7D4BE1"/>
    <w:rsid w:val="1E8C67A1"/>
    <w:rsid w:val="1EAE5BB2"/>
    <w:rsid w:val="1EE348FF"/>
    <w:rsid w:val="1F0C571A"/>
    <w:rsid w:val="1F152820"/>
    <w:rsid w:val="1F323A1C"/>
    <w:rsid w:val="1F60475F"/>
    <w:rsid w:val="1F6B41EE"/>
    <w:rsid w:val="1F6D5E40"/>
    <w:rsid w:val="1F7E6617"/>
    <w:rsid w:val="1F9714CC"/>
    <w:rsid w:val="1FEA4538"/>
    <w:rsid w:val="203E7B55"/>
    <w:rsid w:val="207F7145"/>
    <w:rsid w:val="20AB2A04"/>
    <w:rsid w:val="20AD4032"/>
    <w:rsid w:val="20B037CE"/>
    <w:rsid w:val="20EF0E4F"/>
    <w:rsid w:val="20FB6BAE"/>
    <w:rsid w:val="212C2CF1"/>
    <w:rsid w:val="21313216"/>
    <w:rsid w:val="216E5AC0"/>
    <w:rsid w:val="21BB3F12"/>
    <w:rsid w:val="21D95D87"/>
    <w:rsid w:val="2203448C"/>
    <w:rsid w:val="22394A78"/>
    <w:rsid w:val="226118D9"/>
    <w:rsid w:val="22851A6B"/>
    <w:rsid w:val="229D010B"/>
    <w:rsid w:val="22A0786A"/>
    <w:rsid w:val="22D567C1"/>
    <w:rsid w:val="23024E6A"/>
    <w:rsid w:val="23145024"/>
    <w:rsid w:val="23264752"/>
    <w:rsid w:val="232A3D84"/>
    <w:rsid w:val="23F21382"/>
    <w:rsid w:val="240E6E96"/>
    <w:rsid w:val="2426102C"/>
    <w:rsid w:val="24353C64"/>
    <w:rsid w:val="24912949"/>
    <w:rsid w:val="249F7659"/>
    <w:rsid w:val="24C34ACD"/>
    <w:rsid w:val="24EB5EEF"/>
    <w:rsid w:val="24ED38F7"/>
    <w:rsid w:val="25196239"/>
    <w:rsid w:val="253F05F7"/>
    <w:rsid w:val="254947A3"/>
    <w:rsid w:val="25592D3B"/>
    <w:rsid w:val="255A0F8D"/>
    <w:rsid w:val="257638ED"/>
    <w:rsid w:val="25C91C6F"/>
    <w:rsid w:val="261D3E53"/>
    <w:rsid w:val="261F21D6"/>
    <w:rsid w:val="2661634B"/>
    <w:rsid w:val="26DA4ABE"/>
    <w:rsid w:val="27221F7E"/>
    <w:rsid w:val="27743E5C"/>
    <w:rsid w:val="27B34984"/>
    <w:rsid w:val="27CA41EF"/>
    <w:rsid w:val="27DF1FEC"/>
    <w:rsid w:val="281713B7"/>
    <w:rsid w:val="286D4EBB"/>
    <w:rsid w:val="288E455E"/>
    <w:rsid w:val="28CD7E9B"/>
    <w:rsid w:val="28D151AB"/>
    <w:rsid w:val="290556B4"/>
    <w:rsid w:val="294066EC"/>
    <w:rsid w:val="29746395"/>
    <w:rsid w:val="29993930"/>
    <w:rsid w:val="2A140BDB"/>
    <w:rsid w:val="2A224803"/>
    <w:rsid w:val="2A5A37DD"/>
    <w:rsid w:val="2A680314"/>
    <w:rsid w:val="2A686A33"/>
    <w:rsid w:val="2AD25A69"/>
    <w:rsid w:val="2B1B19E7"/>
    <w:rsid w:val="2B1C6CE5"/>
    <w:rsid w:val="2B342280"/>
    <w:rsid w:val="2BBE01D2"/>
    <w:rsid w:val="2BE9306B"/>
    <w:rsid w:val="2C2C5B31"/>
    <w:rsid w:val="2C5027BE"/>
    <w:rsid w:val="2C9014F6"/>
    <w:rsid w:val="2C9A6B6A"/>
    <w:rsid w:val="2CBC12E2"/>
    <w:rsid w:val="2CC01BCF"/>
    <w:rsid w:val="2CCB09C2"/>
    <w:rsid w:val="2D2A0E71"/>
    <w:rsid w:val="2D431AC4"/>
    <w:rsid w:val="2DC75081"/>
    <w:rsid w:val="2E07032E"/>
    <w:rsid w:val="2E0D283D"/>
    <w:rsid w:val="2E231E68"/>
    <w:rsid w:val="2E275823"/>
    <w:rsid w:val="2E426A62"/>
    <w:rsid w:val="2E6A5D3B"/>
    <w:rsid w:val="2E821554"/>
    <w:rsid w:val="2EBF6305"/>
    <w:rsid w:val="2ECD0A22"/>
    <w:rsid w:val="2ED0406E"/>
    <w:rsid w:val="2F097580"/>
    <w:rsid w:val="2F124AB8"/>
    <w:rsid w:val="2F446D3C"/>
    <w:rsid w:val="2F4B1946"/>
    <w:rsid w:val="2F5B3428"/>
    <w:rsid w:val="2F866E22"/>
    <w:rsid w:val="2FF91D05"/>
    <w:rsid w:val="300F5CEA"/>
    <w:rsid w:val="30413D8E"/>
    <w:rsid w:val="30A8351A"/>
    <w:rsid w:val="314F41F1"/>
    <w:rsid w:val="315C7E3B"/>
    <w:rsid w:val="315F792B"/>
    <w:rsid w:val="31A107C7"/>
    <w:rsid w:val="31C0661C"/>
    <w:rsid w:val="31CA7917"/>
    <w:rsid w:val="31D70A87"/>
    <w:rsid w:val="31E6015C"/>
    <w:rsid w:val="320D471C"/>
    <w:rsid w:val="320D7387"/>
    <w:rsid w:val="321757F9"/>
    <w:rsid w:val="32293921"/>
    <w:rsid w:val="32582DE6"/>
    <w:rsid w:val="32723F14"/>
    <w:rsid w:val="32947E0A"/>
    <w:rsid w:val="32AB7C9E"/>
    <w:rsid w:val="32BD1EA0"/>
    <w:rsid w:val="32D23BCD"/>
    <w:rsid w:val="32F82A2F"/>
    <w:rsid w:val="334212B2"/>
    <w:rsid w:val="337E1884"/>
    <w:rsid w:val="33AE4FBC"/>
    <w:rsid w:val="340D0628"/>
    <w:rsid w:val="34572B3B"/>
    <w:rsid w:val="34A46017"/>
    <w:rsid w:val="34C73291"/>
    <w:rsid w:val="351E17AF"/>
    <w:rsid w:val="352D174B"/>
    <w:rsid w:val="35584DBD"/>
    <w:rsid w:val="35633E8E"/>
    <w:rsid w:val="357C4F4F"/>
    <w:rsid w:val="36983B6B"/>
    <w:rsid w:val="370C4723"/>
    <w:rsid w:val="373C4996"/>
    <w:rsid w:val="37843D44"/>
    <w:rsid w:val="37863E63"/>
    <w:rsid w:val="37922C44"/>
    <w:rsid w:val="37C8447C"/>
    <w:rsid w:val="37CD1A92"/>
    <w:rsid w:val="381A3A5C"/>
    <w:rsid w:val="382475A2"/>
    <w:rsid w:val="3829312F"/>
    <w:rsid w:val="382F44FB"/>
    <w:rsid w:val="38374825"/>
    <w:rsid w:val="38390ED6"/>
    <w:rsid w:val="38804D57"/>
    <w:rsid w:val="38B844F1"/>
    <w:rsid w:val="38B93DC5"/>
    <w:rsid w:val="38C42E95"/>
    <w:rsid w:val="38ED402E"/>
    <w:rsid w:val="39010DF5"/>
    <w:rsid w:val="39311BAD"/>
    <w:rsid w:val="39317DFF"/>
    <w:rsid w:val="393A4A07"/>
    <w:rsid w:val="39423DBA"/>
    <w:rsid w:val="396B3311"/>
    <w:rsid w:val="3984377B"/>
    <w:rsid w:val="399C171C"/>
    <w:rsid w:val="39A23C12"/>
    <w:rsid w:val="3A4B6813"/>
    <w:rsid w:val="3A6D130B"/>
    <w:rsid w:val="3AF410E4"/>
    <w:rsid w:val="3AF64F2B"/>
    <w:rsid w:val="3B0D7E7D"/>
    <w:rsid w:val="3B5A363D"/>
    <w:rsid w:val="3C0418B6"/>
    <w:rsid w:val="3CB44FCF"/>
    <w:rsid w:val="3CD4568D"/>
    <w:rsid w:val="3D1E767A"/>
    <w:rsid w:val="3D300428"/>
    <w:rsid w:val="3D390512"/>
    <w:rsid w:val="3D6630AB"/>
    <w:rsid w:val="3D723D8A"/>
    <w:rsid w:val="3E5720B6"/>
    <w:rsid w:val="3E8E2BBD"/>
    <w:rsid w:val="3E9927A1"/>
    <w:rsid w:val="3F01393D"/>
    <w:rsid w:val="3F286696"/>
    <w:rsid w:val="3F7942AE"/>
    <w:rsid w:val="3FB84DD6"/>
    <w:rsid w:val="3FCE3F3B"/>
    <w:rsid w:val="40183AC7"/>
    <w:rsid w:val="404F6679"/>
    <w:rsid w:val="408847A8"/>
    <w:rsid w:val="409E70CD"/>
    <w:rsid w:val="40B76E3C"/>
    <w:rsid w:val="40F97454"/>
    <w:rsid w:val="41263C06"/>
    <w:rsid w:val="41335C0F"/>
    <w:rsid w:val="41601281"/>
    <w:rsid w:val="417C1E33"/>
    <w:rsid w:val="41D54B5C"/>
    <w:rsid w:val="420267DC"/>
    <w:rsid w:val="42041BF2"/>
    <w:rsid w:val="421304D7"/>
    <w:rsid w:val="421774BD"/>
    <w:rsid w:val="42723962"/>
    <w:rsid w:val="428C52FB"/>
    <w:rsid w:val="42A81132"/>
    <w:rsid w:val="43373068"/>
    <w:rsid w:val="434C41B3"/>
    <w:rsid w:val="4350006E"/>
    <w:rsid w:val="436A288B"/>
    <w:rsid w:val="437043CE"/>
    <w:rsid w:val="43761230"/>
    <w:rsid w:val="438B7970"/>
    <w:rsid w:val="43C748AB"/>
    <w:rsid w:val="43CD6976"/>
    <w:rsid w:val="43E31C22"/>
    <w:rsid w:val="441C29F4"/>
    <w:rsid w:val="44225C7D"/>
    <w:rsid w:val="4490125C"/>
    <w:rsid w:val="44BB3481"/>
    <w:rsid w:val="453A003B"/>
    <w:rsid w:val="454D7D6F"/>
    <w:rsid w:val="457304FC"/>
    <w:rsid w:val="45790B64"/>
    <w:rsid w:val="45BD3146"/>
    <w:rsid w:val="45FF1BE3"/>
    <w:rsid w:val="46362EF9"/>
    <w:rsid w:val="465810C1"/>
    <w:rsid w:val="466A76B4"/>
    <w:rsid w:val="46D04246"/>
    <w:rsid w:val="470E6C95"/>
    <w:rsid w:val="47131708"/>
    <w:rsid w:val="47271F8D"/>
    <w:rsid w:val="47465255"/>
    <w:rsid w:val="4781276F"/>
    <w:rsid w:val="478D206A"/>
    <w:rsid w:val="47900B6D"/>
    <w:rsid w:val="47947ED7"/>
    <w:rsid w:val="47A345BE"/>
    <w:rsid w:val="47A95433"/>
    <w:rsid w:val="480706A9"/>
    <w:rsid w:val="481052EC"/>
    <w:rsid w:val="48A94A3C"/>
    <w:rsid w:val="48AC595B"/>
    <w:rsid w:val="48EB7FCA"/>
    <w:rsid w:val="491E6FD0"/>
    <w:rsid w:val="492B6619"/>
    <w:rsid w:val="49602DC9"/>
    <w:rsid w:val="498521CD"/>
    <w:rsid w:val="49B24078"/>
    <w:rsid w:val="49E948D9"/>
    <w:rsid w:val="49F44C5D"/>
    <w:rsid w:val="49FE12F0"/>
    <w:rsid w:val="4A503956"/>
    <w:rsid w:val="4A6C0C97"/>
    <w:rsid w:val="4AA64F22"/>
    <w:rsid w:val="4AB31814"/>
    <w:rsid w:val="4AE42F23"/>
    <w:rsid w:val="4AEE1FC8"/>
    <w:rsid w:val="4B22482D"/>
    <w:rsid w:val="4B2477C4"/>
    <w:rsid w:val="4B2772B4"/>
    <w:rsid w:val="4B2876B5"/>
    <w:rsid w:val="4B321EE0"/>
    <w:rsid w:val="4B44381C"/>
    <w:rsid w:val="4B9C32AF"/>
    <w:rsid w:val="4BAB3A41"/>
    <w:rsid w:val="4BF049B7"/>
    <w:rsid w:val="4BF537F5"/>
    <w:rsid w:val="4C341C88"/>
    <w:rsid w:val="4C350CC1"/>
    <w:rsid w:val="4C486CB8"/>
    <w:rsid w:val="4CA46E0E"/>
    <w:rsid w:val="4CB160F3"/>
    <w:rsid w:val="4CB34986"/>
    <w:rsid w:val="4CD76FC7"/>
    <w:rsid w:val="4CEC7BD2"/>
    <w:rsid w:val="4CF66F3E"/>
    <w:rsid w:val="4D393DF9"/>
    <w:rsid w:val="4D3A7527"/>
    <w:rsid w:val="4D4B7953"/>
    <w:rsid w:val="4D93478D"/>
    <w:rsid w:val="4DE07D5D"/>
    <w:rsid w:val="4F560168"/>
    <w:rsid w:val="4F6D4EA4"/>
    <w:rsid w:val="50064149"/>
    <w:rsid w:val="50A44079"/>
    <w:rsid w:val="50C60EB4"/>
    <w:rsid w:val="50EC0D83"/>
    <w:rsid w:val="50F32112"/>
    <w:rsid w:val="51266AA5"/>
    <w:rsid w:val="51346287"/>
    <w:rsid w:val="516E1798"/>
    <w:rsid w:val="51A60D0E"/>
    <w:rsid w:val="51BC5D96"/>
    <w:rsid w:val="521837FD"/>
    <w:rsid w:val="523A78CD"/>
    <w:rsid w:val="52B016A8"/>
    <w:rsid w:val="52F2298E"/>
    <w:rsid w:val="530F4CA6"/>
    <w:rsid w:val="5322110D"/>
    <w:rsid w:val="532F4120"/>
    <w:rsid w:val="533B7F7B"/>
    <w:rsid w:val="53445064"/>
    <w:rsid w:val="53736321"/>
    <w:rsid w:val="537A4D81"/>
    <w:rsid w:val="538075A7"/>
    <w:rsid w:val="53A06074"/>
    <w:rsid w:val="53A206F9"/>
    <w:rsid w:val="53AC0356"/>
    <w:rsid w:val="53B35B89"/>
    <w:rsid w:val="54373FE6"/>
    <w:rsid w:val="545F17B4"/>
    <w:rsid w:val="546B6EBC"/>
    <w:rsid w:val="547F1F0F"/>
    <w:rsid w:val="54837309"/>
    <w:rsid w:val="5488491F"/>
    <w:rsid w:val="54E12281"/>
    <w:rsid w:val="558F4E6A"/>
    <w:rsid w:val="55E5259E"/>
    <w:rsid w:val="562C39D0"/>
    <w:rsid w:val="565F67E1"/>
    <w:rsid w:val="56B8337C"/>
    <w:rsid w:val="56C41998"/>
    <w:rsid w:val="570D6A55"/>
    <w:rsid w:val="57386303"/>
    <w:rsid w:val="578C2978"/>
    <w:rsid w:val="57C2639A"/>
    <w:rsid w:val="57CE2F91"/>
    <w:rsid w:val="57D367F9"/>
    <w:rsid w:val="57E26A3C"/>
    <w:rsid w:val="58080C68"/>
    <w:rsid w:val="58171C5F"/>
    <w:rsid w:val="585039A6"/>
    <w:rsid w:val="58854E97"/>
    <w:rsid w:val="58D26AB1"/>
    <w:rsid w:val="58DA3BB7"/>
    <w:rsid w:val="58E93DFA"/>
    <w:rsid w:val="58ED38EB"/>
    <w:rsid w:val="59455374"/>
    <w:rsid w:val="596D67DA"/>
    <w:rsid w:val="5A0E1D6B"/>
    <w:rsid w:val="5A1530F9"/>
    <w:rsid w:val="5AB346C0"/>
    <w:rsid w:val="5ADB2402"/>
    <w:rsid w:val="5AED7BD2"/>
    <w:rsid w:val="5AF50C8C"/>
    <w:rsid w:val="5AF63B00"/>
    <w:rsid w:val="5B0A5968"/>
    <w:rsid w:val="5BC21991"/>
    <w:rsid w:val="5BE82147"/>
    <w:rsid w:val="5BF94B2E"/>
    <w:rsid w:val="5C1B076F"/>
    <w:rsid w:val="5CC901CB"/>
    <w:rsid w:val="5CE56791"/>
    <w:rsid w:val="5D041203"/>
    <w:rsid w:val="5D0905C7"/>
    <w:rsid w:val="5D1D2CFD"/>
    <w:rsid w:val="5D3211BE"/>
    <w:rsid w:val="5D417D61"/>
    <w:rsid w:val="5E7C4265"/>
    <w:rsid w:val="5EA91B17"/>
    <w:rsid w:val="5F1D7B34"/>
    <w:rsid w:val="5F3961B5"/>
    <w:rsid w:val="5F6A683F"/>
    <w:rsid w:val="5F7408C2"/>
    <w:rsid w:val="60342D77"/>
    <w:rsid w:val="603826E4"/>
    <w:rsid w:val="603B72AA"/>
    <w:rsid w:val="60430294"/>
    <w:rsid w:val="60762418"/>
    <w:rsid w:val="60E74E24"/>
    <w:rsid w:val="60F71F00"/>
    <w:rsid w:val="61193594"/>
    <w:rsid w:val="61A84853"/>
    <w:rsid w:val="61ED4F51"/>
    <w:rsid w:val="61F37874"/>
    <w:rsid w:val="62037CDB"/>
    <w:rsid w:val="62AC2121"/>
    <w:rsid w:val="62D52956"/>
    <w:rsid w:val="62E80C7F"/>
    <w:rsid w:val="6300246C"/>
    <w:rsid w:val="632443AD"/>
    <w:rsid w:val="634C0FAA"/>
    <w:rsid w:val="635F3637"/>
    <w:rsid w:val="637B1AF3"/>
    <w:rsid w:val="649410BE"/>
    <w:rsid w:val="651B358E"/>
    <w:rsid w:val="651F6C24"/>
    <w:rsid w:val="655756E8"/>
    <w:rsid w:val="656A17CF"/>
    <w:rsid w:val="65774816"/>
    <w:rsid w:val="660719F5"/>
    <w:rsid w:val="662A2B19"/>
    <w:rsid w:val="672A5D0A"/>
    <w:rsid w:val="67512D1E"/>
    <w:rsid w:val="67900263"/>
    <w:rsid w:val="67E619A0"/>
    <w:rsid w:val="680622D3"/>
    <w:rsid w:val="68265E90"/>
    <w:rsid w:val="683D381B"/>
    <w:rsid w:val="68531E47"/>
    <w:rsid w:val="689E69FF"/>
    <w:rsid w:val="68BD54CD"/>
    <w:rsid w:val="68C335B2"/>
    <w:rsid w:val="68F77E6E"/>
    <w:rsid w:val="69051537"/>
    <w:rsid w:val="694D5CE0"/>
    <w:rsid w:val="69881641"/>
    <w:rsid w:val="69AB14FE"/>
    <w:rsid w:val="6A437939"/>
    <w:rsid w:val="6A566FB0"/>
    <w:rsid w:val="6A83533B"/>
    <w:rsid w:val="6B0D5631"/>
    <w:rsid w:val="6B2E7EB1"/>
    <w:rsid w:val="6B3434EF"/>
    <w:rsid w:val="6B5B1DC7"/>
    <w:rsid w:val="6B6F4633"/>
    <w:rsid w:val="6B7F19BD"/>
    <w:rsid w:val="6B8F25DF"/>
    <w:rsid w:val="6BE0108D"/>
    <w:rsid w:val="6BF6440D"/>
    <w:rsid w:val="6C046B2A"/>
    <w:rsid w:val="6C1831A7"/>
    <w:rsid w:val="6C270A6A"/>
    <w:rsid w:val="6C696D88"/>
    <w:rsid w:val="6C7C7008"/>
    <w:rsid w:val="6CAD0F6F"/>
    <w:rsid w:val="6CB45BA1"/>
    <w:rsid w:val="6CD36911"/>
    <w:rsid w:val="6CF272CA"/>
    <w:rsid w:val="6D6F4B5F"/>
    <w:rsid w:val="6D9B013C"/>
    <w:rsid w:val="6DBB76BC"/>
    <w:rsid w:val="6E086B91"/>
    <w:rsid w:val="6EAF4676"/>
    <w:rsid w:val="6F0B01CF"/>
    <w:rsid w:val="6F9E67CC"/>
    <w:rsid w:val="6FF249AF"/>
    <w:rsid w:val="6FF26100"/>
    <w:rsid w:val="71866233"/>
    <w:rsid w:val="72316527"/>
    <w:rsid w:val="725956F5"/>
    <w:rsid w:val="73125643"/>
    <w:rsid w:val="73997878"/>
    <w:rsid w:val="73A60FEF"/>
    <w:rsid w:val="73A62BBC"/>
    <w:rsid w:val="73A66718"/>
    <w:rsid w:val="73BC2EBC"/>
    <w:rsid w:val="74012C6F"/>
    <w:rsid w:val="74736F1D"/>
    <w:rsid w:val="74991AFA"/>
    <w:rsid w:val="74B012E1"/>
    <w:rsid w:val="74BD01BD"/>
    <w:rsid w:val="75535257"/>
    <w:rsid w:val="75792336"/>
    <w:rsid w:val="75FD6C16"/>
    <w:rsid w:val="7625601A"/>
    <w:rsid w:val="76277FE4"/>
    <w:rsid w:val="76760624"/>
    <w:rsid w:val="7684175B"/>
    <w:rsid w:val="76C842A1"/>
    <w:rsid w:val="76F624EB"/>
    <w:rsid w:val="76FF23E1"/>
    <w:rsid w:val="770A5210"/>
    <w:rsid w:val="77460338"/>
    <w:rsid w:val="777A4144"/>
    <w:rsid w:val="77866F8C"/>
    <w:rsid w:val="77A67049"/>
    <w:rsid w:val="77A67671"/>
    <w:rsid w:val="77F1667C"/>
    <w:rsid w:val="781A1483"/>
    <w:rsid w:val="78540E39"/>
    <w:rsid w:val="78831680"/>
    <w:rsid w:val="7897242F"/>
    <w:rsid w:val="78D30CE4"/>
    <w:rsid w:val="78D5702C"/>
    <w:rsid w:val="79063769"/>
    <w:rsid w:val="791365FE"/>
    <w:rsid w:val="791B1956"/>
    <w:rsid w:val="79323DC9"/>
    <w:rsid w:val="798344DD"/>
    <w:rsid w:val="799B7BD0"/>
    <w:rsid w:val="79BD1E6F"/>
    <w:rsid w:val="7A2E1215"/>
    <w:rsid w:val="7A3C1B84"/>
    <w:rsid w:val="7A49604F"/>
    <w:rsid w:val="7A497668"/>
    <w:rsid w:val="7A637111"/>
    <w:rsid w:val="7A6C06BC"/>
    <w:rsid w:val="7A70182E"/>
    <w:rsid w:val="7A774249"/>
    <w:rsid w:val="7AB358CC"/>
    <w:rsid w:val="7AF777C7"/>
    <w:rsid w:val="7B4469CE"/>
    <w:rsid w:val="7B4B123C"/>
    <w:rsid w:val="7BC254F8"/>
    <w:rsid w:val="7BC40CF1"/>
    <w:rsid w:val="7BE14743"/>
    <w:rsid w:val="7C124E50"/>
    <w:rsid w:val="7C5F7DAC"/>
    <w:rsid w:val="7CFD27FF"/>
    <w:rsid w:val="7D515767"/>
    <w:rsid w:val="7D604282"/>
    <w:rsid w:val="7D97463E"/>
    <w:rsid w:val="7D9D309E"/>
    <w:rsid w:val="7DA5209D"/>
    <w:rsid w:val="7DB3215D"/>
    <w:rsid w:val="7DD2564E"/>
    <w:rsid w:val="7DE71E07"/>
    <w:rsid w:val="7E0C5521"/>
    <w:rsid w:val="7E486D4A"/>
    <w:rsid w:val="7E977CD1"/>
    <w:rsid w:val="7F390D5A"/>
    <w:rsid w:val="7F3B68AE"/>
    <w:rsid w:val="7F472B60"/>
    <w:rsid w:val="7F797FDA"/>
    <w:rsid w:val="7F97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style>
  <w:style w:type="paragraph" w:styleId="6">
    <w:name w:val="Balloon Text"/>
    <w:basedOn w:val="1"/>
    <w:link w:val="22"/>
    <w:qFormat/>
    <w:uiPriority w:val="0"/>
    <w:rPr>
      <w:sz w:val="18"/>
      <w:szCs w:val="18"/>
    </w:rPr>
  </w:style>
  <w:style w:type="paragraph" w:styleId="7">
    <w:name w:val="footer"/>
    <w:basedOn w:val="1"/>
    <w:link w:val="21"/>
    <w:qFormat/>
    <w:uiPriority w:val="99"/>
    <w:pPr>
      <w:tabs>
        <w:tab w:val="center" w:pos="4153"/>
        <w:tab w:val="right" w:pos="8306"/>
      </w:tabs>
    </w:pPr>
    <w:rPr>
      <w:sz w:val="20"/>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sz w:val="24"/>
    </w:rPr>
  </w:style>
  <w:style w:type="character" w:styleId="12">
    <w:name w:val="page number"/>
    <w:basedOn w:val="11"/>
    <w:qFormat/>
    <w:uiPriority w:val="0"/>
  </w:style>
  <w:style w:type="paragraph" w:styleId="13">
    <w:name w:val="List Paragraph"/>
    <w:basedOn w:val="1"/>
    <w:unhideWhenUsed/>
    <w:qFormat/>
    <w:uiPriority w:val="34"/>
    <w:pPr>
      <w:ind w:firstLine="420" w:firstLineChars="200"/>
    </w:pPr>
  </w:style>
  <w:style w:type="paragraph" w:customStyle="1" w:styleId="14">
    <w:name w:val="List Paragraph1"/>
    <w:basedOn w:val="1"/>
    <w:qFormat/>
    <w:uiPriority w:val="99"/>
    <w:pPr>
      <w:ind w:firstLine="420" w:firstLineChars="200"/>
    </w:pPr>
  </w:style>
  <w:style w:type="paragraph" w:customStyle="1" w:styleId="15">
    <w:name w:val="表名"/>
    <w:basedOn w:val="1"/>
    <w:qFormat/>
    <w:uiPriority w:val="0"/>
    <w:pPr>
      <w:widowControl w:val="0"/>
      <w:overflowPunct/>
      <w:autoSpaceDE/>
      <w:autoSpaceDN/>
      <w:adjustRightInd/>
      <w:spacing w:before="60" w:after="60"/>
      <w:jc w:val="center"/>
      <w:textAlignment w:val="auto"/>
    </w:pPr>
    <w:rPr>
      <w:rFonts w:eastAsia="仿宋_GB2312"/>
      <w:b/>
      <w:kern w:val="2"/>
      <w:sz w:val="24"/>
      <w:szCs w:val="24"/>
    </w:rPr>
  </w:style>
  <w:style w:type="character" w:customStyle="1" w:styleId="16">
    <w:name w:val="font41"/>
    <w:basedOn w:val="11"/>
    <w:qFormat/>
    <w:uiPriority w:val="0"/>
    <w:rPr>
      <w:rFonts w:hint="eastAsia" w:ascii="宋体" w:hAnsi="宋体" w:eastAsia="宋体" w:cs="宋体"/>
      <w:b/>
      <w:color w:val="000000"/>
      <w:sz w:val="21"/>
      <w:szCs w:val="21"/>
      <w:u w:val="none"/>
    </w:rPr>
  </w:style>
  <w:style w:type="character" w:customStyle="1" w:styleId="17">
    <w:name w:val="font01"/>
    <w:basedOn w:val="11"/>
    <w:qFormat/>
    <w:uiPriority w:val="0"/>
    <w:rPr>
      <w:rFonts w:ascii="仿宋_GB2312" w:eastAsia="仿宋_GB2312" w:cs="仿宋_GB2312"/>
      <w:b/>
      <w:color w:val="000000"/>
      <w:sz w:val="21"/>
      <w:szCs w:val="21"/>
      <w:u w:val="none"/>
    </w:rPr>
  </w:style>
  <w:style w:type="character" w:customStyle="1" w:styleId="18">
    <w:name w:val="font21"/>
    <w:basedOn w:val="11"/>
    <w:qFormat/>
    <w:uiPriority w:val="0"/>
    <w:rPr>
      <w:rFonts w:hint="default" w:ascii="Times New Roman" w:hAnsi="Times New Roman" w:cs="Times New Roman"/>
      <w:b/>
      <w:color w:val="000000"/>
      <w:sz w:val="21"/>
      <w:szCs w:val="21"/>
      <w:u w:val="none"/>
    </w:rPr>
  </w:style>
  <w:style w:type="character" w:customStyle="1" w:styleId="19">
    <w:name w:val="apple-converted-space"/>
    <w:basedOn w:val="11"/>
    <w:qFormat/>
    <w:uiPriority w:val="0"/>
  </w:style>
  <w:style w:type="character" w:customStyle="1" w:styleId="20">
    <w:name w:val="页眉 Char"/>
    <w:basedOn w:val="11"/>
    <w:link w:val="8"/>
    <w:qFormat/>
    <w:uiPriority w:val="0"/>
    <w:rPr>
      <w:sz w:val="18"/>
      <w:szCs w:val="18"/>
    </w:rPr>
  </w:style>
  <w:style w:type="character" w:customStyle="1" w:styleId="21">
    <w:name w:val="页脚 Char"/>
    <w:basedOn w:val="11"/>
    <w:link w:val="7"/>
    <w:qFormat/>
    <w:uiPriority w:val="99"/>
  </w:style>
  <w:style w:type="character" w:customStyle="1" w:styleId="22">
    <w:name w:val="批注框文本 Char"/>
    <w:basedOn w:val="11"/>
    <w:link w:val="6"/>
    <w:qFormat/>
    <w:uiPriority w:val="0"/>
    <w:rPr>
      <w:sz w:val="18"/>
      <w:szCs w:val="18"/>
    </w:rPr>
  </w:style>
  <w:style w:type="paragraph" w:customStyle="1" w:styleId="23">
    <w:name w:val="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4194-506B-42AE-B7E5-E8A8EAC5E360}">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18</Pages>
  <Words>3240</Words>
  <Characters>3456</Characters>
  <Lines>57</Lines>
  <Paragraphs>16</Paragraphs>
  <TotalTime>55</TotalTime>
  <ScaleCrop>false</ScaleCrop>
  <LinksUpToDate>false</LinksUpToDate>
  <CharactersWithSpaces>3470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2023-06-26T07:59:00Z</dcterms:created>
  <dc:creator>霏吡尋常</dc:creator>
  <cp:lastModifiedBy>Amy</cp:lastModifiedBy>
  <cp:lastPrinted>2025-09-25T02:57:00Z</cp:lastPrinted>
  <dcterms:modified xsi:type="dcterms:W3CDTF">2025-11-17T06:24:27Z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1759219631</vt:i4>
  </property>
  <property fmtid="{D5CDD505-2E9C-101B-9397-08002B2CF9AE}" pid="4" name="ICV">
    <vt:lpwstr>389171981F0B44DFB30E25EBF443EC16_13</vt:lpwstr>
  </property>
  <property fmtid="{D5CDD505-2E9C-101B-9397-08002B2CF9AE}" pid="5" name="KSOTemplateDocerSaveRecord">
    <vt:lpwstr>eyJoZGlkIjoiMGY5MWZmYzNlYzJmZTI5ZDJkMWI5MDRhNWUzMGQxNDYiLCJ1c2VySWQiOiIxMjA3MTQxMDk2In0=</vt:lpwstr>
  </property>
</Properties>
</file>