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南京市公务车辆服务中心</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（一）负责市级机关公务车辆的日常管理和交通安全管理,制定车辆管理办法;</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（二）负责市级机关公务车辆的经费管理;</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（三）负责编制市级机关公务车辆的年度更新、处置计划;</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（四）负责市级机关驾驶人的管理、安全教育工作和驾驶证年审更换工作;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（五）承担市级领导(含离退休市级领导)公务用车及大型会议、重要活动用车的保障工作;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（六）承担市机关事务管理局交办的其他任务。</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行政事务部、车辆管理部、车辆调度部、运行监管部。</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公车中心深入贯彻落实习近平总书记关于机关事务工作的重要指示精神，牢牢把握高质量发展核心要义，认真落实局党组部署要求，进一步完善集中统一管理工作机制，提升运行保障水平和管理效能，更好服务党政机关高效有序运转。</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（一）深耕主责主业，服务保障效能实现新突破。一是保障重要会议活动用车坚强有力；二是服务会商机制作用持续发挥；三是加速服务效能扩面提质。</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（二）拓宽效能思维，过紧日子成效显著。一是推进公务用车管理集约节约；二是盘活车辆资源利用；三是探索实现都市圈一体化出行。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（三）突出因材施教，队伍建设动能不断释放。一是干部素质能力提升行动贯穿全年；二是多维度提升司勤人员保障能力。</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（四）坚持文化赋能，干事创业合力不断凝聚。一是“悦加油读书会”文化品牌更具内涵；二是“晨间加油站”思政品牌更有深度；三是志愿服务活动更有温度。</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南京市公务车辆服务中心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南京市公务车辆服务中心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1,158.88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1,018.37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0.03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41.47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99.04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1,158.91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1,158.88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0.75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0.78</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1,159.66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1,159.66</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1,158.91</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1,158.88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0.03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1,018.40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1,018.37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0.03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1,018.40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1,018.37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0.03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95.97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95.97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922.43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922.40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0.03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41.47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41.47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41.47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41.47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27.65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27.65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13.82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13.82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99.04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99.04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99.04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99.04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33.17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33.17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65.87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65.87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1,158.88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1,062.91</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95.97</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1,018.37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922.40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95.97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1,018.37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922.40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95.97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机关服务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95.97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95.97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922.40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922.40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41.47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41.47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41.47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41.47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27.65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27.65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13.82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13.82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99.04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99.04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99.04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99.04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33.17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33.17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65.87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65.87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1,158.88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1,018.37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1,018.37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41.47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41.47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99.04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99.04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1,158.88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1,158.88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1,158.88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1,158.88</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1,158.88</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1,158.88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1,158.88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1,062.91</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95.97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1,018.37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922.40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95.97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1,018.37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922.40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95.97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95.97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95.97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922.40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922.40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41.47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41.47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41.47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41.47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27.65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27.65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13.82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13.82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99.04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99.04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99.04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99.04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33.17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33.17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65.87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65.87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1,062.91</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664.37</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398.54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663.68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663.68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67.43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67.43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88.36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88.36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160.94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160.94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30.50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15.54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12.81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12.81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2.83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34.73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2.77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247.77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247.77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398.54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398.54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5.16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1.28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377.46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377.46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4.99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0.69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0.69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1,158.88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1,062.91</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95.97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1,018.37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922.40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95.97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1,018.37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922.40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95.97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95.97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95.97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922.40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922.40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41.47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41.47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41.47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41.47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27.65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27.65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13.82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99.04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99.04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99.04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99.04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33.17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33.17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65.87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65.87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1,062.91</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664.37</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398.54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663.68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663.68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67.43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67.43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88.36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88.36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160.94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160.94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30.50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15.54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15.54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12.81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12.81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2.83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34.73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2.77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247.77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247.77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398.54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398.54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5.16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1.28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377.46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377.46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4.99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4.99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0.69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0.69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0.69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0.69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377.47</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377.47</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377.47</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9.65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377.47</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377.47</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377.47</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9.65</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121.00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13.00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243.00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南京市公务车辆服务中心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225.17</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0.17</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225.00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2024年度收入、支出决算总计1,159.66万元。与上年相比，收、支总计各增加53.03万元，增长4.79%。其中：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（一）收入决算总计1,159.66万元。包括：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1,158.91万元。与上年相比，增加52.94万元，增长4.79%，变动原因：一是事业编制人员增加，人员经费相应增加；二是服务保障效能提升，车辆调度周转率高，且使用年限增加，维护保养成本提高，公务用车运行维护费相应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3.年初结转和结余0.75万元。与上年相比，增加0.09万元，增长13.64%，变动原因：上年结转的银行账户利息收入增加。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（二）支出决算总计1,159.66万元。包括：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1,158.88万元。与上年相比，增加53万元，增长4.79%，变动原因：一是事业编制人员增加，人员经费相应增加；二是服务保障效能提升，车辆调度周转率高，且使用年限增加，维护保养成本提高，公务用车运行维护费相应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3.年末结转和结余0.78万元。结转和结余事项：银行账户的利息收入。与上年相比，增加0.03万元，增长4%，变动原因：银行账户利息收入增加。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1,158.91万元，其中：财政拨款收入1,158.88万元，占100%（该占比四舍五入后为100%）；上级补助收入0万元，占0%；财政专户管理教育收费0万元，占0%；事业收入（不含专户管理教育收费）0万元，占0%；经营收入0万元，占0%；附属单位上缴收入0万元，占0%；其他收入0.03万元，占0%（该占比四舍五入后为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2024年度本年支出决算合计1,158.88万元，其中：基本支出1,062.91万元，占91.72%；项目支出95.97万元，占8.28%；上缴上级支出0万元，占0%；经营支出0万元，占0%；对附属单位补助支出0万元，占0%。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1,158.88万元。与上年相比，收、支总计各增加53万元，增长4.79%，变动原因：一是事业编制人员增加，人员经费相应增加；二是服务保障效能提升，车辆调度周转率高，且使用年限增加，维护保养成本提高，公务用车运行维护费相应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2024年度财政拨款支出决算1,158.88万元，占本年支出合计的100%。与2024年度财政拨款支出年初预算1,155.26万元相比，完成年初预算的100.31%。其中：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1.政府办公厅（室）及相关机构事务（款）机关服务（项）。年初预算104.1万元，支出决算95.97万元，完成年初预算的92.19%。决算数与年初预算数的差异原因：落实过紧日子要求,年中压减部分项目预算支出。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政府办公厅（室）及相关机构事务（款）事业运行（项）。年初预算919.84万元，支出决算922.4万元，完成年初预算的100.28%。决算数与年初预算数的差异原因：事业编制人员及编外人员增加，人员经费支出相应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1.行政事业单位养老支出（款）机关事业单位基本养老保险缴费支出（项）。年初预算27.65万元，支出决算27.65万元，完成年初预算的100%。决算数与年初预算数相同。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2.行政事业单位养老支出（款）机关事业单位职业年金缴费支出（项）。年初预算13.82万元，支出决算13.82万元，完成年初预算的100%。决算数与年初预算数相同。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1.住房改革支出（款）住房公积金（项）。年初预算28.37万元，支出决算33.17万元，完成年初预算的116.92%。决算数与年初预算数的差异原因：住房公积金政策性核定增发。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2.住房改革支出（款）提租补贴（项）。年初预算61.48万元，支出决算65.87万元，完成年初预算的107.14%。决算数与年初预算数的差异原因：提租补贴政策性核定增发。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2024年度财政拨款基本支出决算1,062.91万元，其中：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（一）人员经费664.37万元。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主要包括：基本工资、津贴补贴、绩效工资、机关事业单位基本养老保险缴费、职业年金缴费、职工基本医疗保险缴费、其他社会保障缴费、住房公积金、医疗费、其他工资福利支出、奖励金。</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（二）公用经费398.54万元。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主要包括：办公费、差旅费、维修（护）费、培训费、工会经费、公务用车运行维护费、其他商品和服务支出。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1,158.88万元。与上年相比，增加53万元，增长4.79%，变动原因：一是事业编制人员增加，人员经费相应增加；二是服务保障效能提升，车辆调度周转率高，且使用年限增加，维护保养成本提高，公务用车运行维护费相应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2024年度一般公共预算财政拨款基本支出决算1,062.91万元，其中：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（一）人员经费664.37万元。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主要包括：基本工资、津贴补贴、绩效工资、机关事业单位基本养老保险缴费、职业年金缴费、职工基本医疗保险缴费、其他社会保障缴费、住房公积金、医疗费、其他工资福利支出、奖励金。</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（二）公用经费398.54万元。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主要包括：办公费、差旅费、维修（护）费、培训费、工会经费、公务用车运行维护费、其他商品和服务支出。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377.47万元（其中：一般公共预算支出377.47万元；政府性基金预算支出0万元；国有资本经营预算支出0万元）。与上年相比，增加29.97万元，变动原因：服务保障效能提升，车辆调度周转率高，且使用年限增加，维护保养成本提高，公务用车运行维护费相应增加。其中，因公出国（境）费支出0万元，占“三公”经费的0%；公务用车购置及运行维护费支出377.47万元，占“三公”经费的100%；公务接待费支出0万元，占“三公”经费的0%。2024年度财政拨款“三公”经费支出预算377.47万元（其中：一般公共预算支出377.47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377.47万元（其中：一般公共预算支出377.47万元；政府性基金预算支出0万元；国有资本经营预算支出0万元），支出决算377.47万元（其中：一般公共预算支出377.47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377.47万元。公务用车运行维护费主要用于按规定保留的公务用车的燃料费、维修费、过桥过路费、保险费、安全奖励费用等支出。截至2024年12月31日，使用财政拨款开支的公务用车保有量为121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9.65万元（其中：一般公共预算支出9.65万元；政府性基金预算支出0万元；国有资本经营预算支出0万元），支出决算9.65万元（其中：一般公共预算支出9.65万元；政府性基金预算支出0万元；国有资本经营预算支出0万元），完成调整后预算的100%，决算数与预算数相同。2024年度全年组织培训13个，组织培训243人次，开支内容：干部能力素质提升培训、驾驶员增驾培训以及全员综合素质提升等培训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225.17万元，其中：政府采购货物支出0.17万元、政府采购工程支出0万元、政府采购服务支出225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121辆，其中：副部(省)级及以上领导用车5辆、主要领导干部用车31辆、机要通信用车0辆、应急保障用车0辆、执法执勤用车0辆、特种专业技术用车0辆、离退休干部用车29辆、其他用车56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本单位共对上年度已实施完成的4个项目开展了绩效自评价，涉及财政性资金合计95.97万元；本单位共开展1项单位整体支出绩效自评价，涉及财政性资金合计1,158.88万元。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十九、一般公共服务支出(类)政府办公厅（室）及相关机构事务(款)机关服务(项)</w:t>
      </w:r>
      <w:r>
        <w:rPr>
          <w:b w:val="on"/>
          <w:rFonts w:ascii="仿宋" w:eastAsia="仿宋" w:hAnsi="仿宋" w:cs="仿宋"/>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二十、一般公共服务支出(类)政府办公厅（室）及相关机构事务(款)事业运行(项)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南京市公务车辆服务中心</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