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0528">
      <w:pPr>
        <w:widowControl/>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4</w:t>
      </w:r>
      <w:r>
        <w:rPr>
          <w:rFonts w:hint="eastAsia" w:ascii="方正小标宋简体" w:hAnsi="方正小标宋简体" w:eastAsia="方正小标宋简体" w:cs="方正小标宋简体"/>
          <w:bCs/>
          <w:kern w:val="0"/>
          <w:sz w:val="44"/>
          <w:szCs w:val="44"/>
        </w:rPr>
        <w:t>年度南京晓庄学院实验幼儿园（南京市市级机关第二幼儿园）整体预算绩效自评价报告</w:t>
      </w:r>
    </w:p>
    <w:p w14:paraId="198E7EAE">
      <w:pPr>
        <w:widowControl/>
        <w:spacing w:line="560" w:lineRule="exact"/>
        <w:ind w:firstLine="640" w:firstLineChars="200"/>
        <w:jc w:val="left"/>
        <w:rPr>
          <w:rFonts w:ascii="Times New Roman" w:hAnsi="Times New Roman" w:eastAsia="仿宋_GB2312" w:cs="Times New Roman"/>
          <w:sz w:val="32"/>
          <w:szCs w:val="32"/>
        </w:rPr>
      </w:pPr>
    </w:p>
    <w:p w14:paraId="4E8A54F0">
      <w:pPr>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sz w:val="32"/>
          <w:szCs w:val="32"/>
        </w:rPr>
        <w:t>为全面推进预算绩效管理，从整体上提升预算绩效管理水平，</w:t>
      </w:r>
      <w:r>
        <w:rPr>
          <w:rFonts w:hint="eastAsia" w:ascii="Times New Roman" w:hAnsi="Times New Roman" w:eastAsia="仿宋_GB2312" w:cs="Times New Roman"/>
          <w:b w:val="0"/>
          <w:bCs w:val="0"/>
          <w:color w:val="auto"/>
          <w:sz w:val="32"/>
          <w:szCs w:val="32"/>
          <w:lang w:val="en-US" w:eastAsia="zh-CN"/>
        </w:rPr>
        <w:t>提升财政资金使用效益，</w:t>
      </w:r>
      <w:r>
        <w:rPr>
          <w:rFonts w:ascii="Times New Roman" w:hAnsi="Times New Roman" w:eastAsia="仿宋_GB2312" w:cs="Times New Roman"/>
          <w:b w:val="0"/>
          <w:bCs w:val="0"/>
          <w:color w:val="auto"/>
          <w:sz w:val="32"/>
          <w:szCs w:val="32"/>
          <w:highlight w:val="none"/>
        </w:rPr>
        <w:t>根据</w:t>
      </w:r>
      <w:r>
        <w:rPr>
          <w:rFonts w:ascii="Times New Roman" w:hAnsi="Times New Roman" w:eastAsia="仿宋_GB2312" w:cs="Times New Roman"/>
          <w:b w:val="0"/>
          <w:bCs w:val="0"/>
          <w:color w:val="auto"/>
          <w:sz w:val="32"/>
          <w:szCs w:val="32"/>
        </w:rPr>
        <w:t>南京市财政局</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2025年南京市市级预算部门（单位）预算绩效管理责任清单》（宁财绩〔2025〕106号）</w:t>
      </w:r>
      <w:r>
        <w:rPr>
          <w:rFonts w:hint="eastAsia" w:ascii="Times New Roman" w:hAnsi="Times New Roman" w:eastAsia="仿宋_GB2312" w:cs="Times New Roman"/>
          <w:b w:val="0"/>
          <w:bCs w:val="0"/>
          <w:color w:val="auto"/>
          <w:sz w:val="32"/>
          <w:szCs w:val="32"/>
          <w:lang w:val="en-US" w:eastAsia="zh-CN"/>
        </w:rPr>
        <w:t>文件</w:t>
      </w:r>
      <w:r>
        <w:rPr>
          <w:rFonts w:ascii="Times New Roman" w:hAnsi="Times New Roman" w:eastAsia="仿宋_GB2312" w:cs="Times New Roman"/>
          <w:b w:val="0"/>
          <w:bCs w:val="0"/>
          <w:color w:val="auto"/>
          <w:sz w:val="32"/>
          <w:szCs w:val="32"/>
        </w:rPr>
        <w:t>的要求，我</w:t>
      </w:r>
      <w:r>
        <w:rPr>
          <w:rFonts w:hint="eastAsia" w:ascii="Times New Roman" w:hAnsi="Times New Roman" w:eastAsia="仿宋_GB2312" w:cs="Times New Roman"/>
          <w:b w:val="0"/>
          <w:bCs w:val="0"/>
          <w:color w:val="auto"/>
          <w:sz w:val="32"/>
          <w:szCs w:val="32"/>
          <w:lang w:val="en-US" w:eastAsia="zh-CN"/>
        </w:rPr>
        <w:t>单位</w:t>
      </w:r>
      <w:r>
        <w:rPr>
          <w:rFonts w:ascii="Times New Roman" w:hAnsi="Times New Roman" w:eastAsia="仿宋_GB2312" w:cs="Times New Roman"/>
          <w:b w:val="0"/>
          <w:bCs w:val="0"/>
          <w:color w:val="auto"/>
          <w:sz w:val="32"/>
          <w:szCs w:val="32"/>
        </w:rPr>
        <w:t>对202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年度部门整体绩效进行评价，现将评价结果报告如下：</w:t>
      </w:r>
    </w:p>
    <w:p w14:paraId="7FFCE24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b w:val="0"/>
          <w:bCs w:val="0"/>
          <w:color w:val="000000"/>
          <w:kern w:val="0"/>
          <w:sz w:val="32"/>
          <w:szCs w:val="32"/>
        </w:rPr>
      </w:pPr>
      <w:r>
        <w:rPr>
          <w:rFonts w:ascii="Times New Roman" w:hAnsi="Times New Roman" w:eastAsia="黑体" w:cs="Times New Roman"/>
          <w:b w:val="0"/>
          <w:bCs w:val="0"/>
          <w:color w:val="000000"/>
          <w:kern w:val="0"/>
          <w:sz w:val="32"/>
          <w:szCs w:val="32"/>
        </w:rPr>
        <w:t>一、单位概况</w:t>
      </w:r>
    </w:p>
    <w:p w14:paraId="582A8F91">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 w:val="0"/>
          <w:bCs w:val="0"/>
          <w:sz w:val="32"/>
          <w:szCs w:val="32"/>
        </w:rPr>
      </w:pPr>
      <w:r>
        <w:rPr>
          <w:rFonts w:ascii="Times New Roman" w:hAnsi="Times New Roman" w:eastAsia="楷体" w:cs="Times New Roman"/>
          <w:b w:val="0"/>
          <w:bCs w:val="0"/>
          <w:color w:val="000000"/>
          <w:kern w:val="0"/>
          <w:sz w:val="32"/>
          <w:szCs w:val="32"/>
        </w:rPr>
        <w:t>（一）单位</w:t>
      </w:r>
      <w:r>
        <w:rPr>
          <w:rFonts w:ascii="Times New Roman" w:hAnsi="Times New Roman" w:eastAsia="楷体" w:cs="Times New Roman"/>
          <w:b w:val="0"/>
          <w:bCs w:val="0"/>
          <w:sz w:val="32"/>
          <w:szCs w:val="32"/>
        </w:rPr>
        <w:t>基本情况</w:t>
      </w:r>
    </w:p>
    <w:p w14:paraId="29C2B4C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南京晓庄学院实验幼儿园（南京市市级机关第二幼儿园）是南京市机关事务管理局下属的公益二类差额拨款事业单位。</w:t>
      </w:r>
    </w:p>
    <w:p w14:paraId="534B95C4">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1.职能简介</w:t>
      </w:r>
    </w:p>
    <w:p w14:paraId="2BEEDFD6">
      <w:pPr>
        <w:pStyle w:val="4"/>
        <w:pageBreakBefore w:val="0"/>
        <w:kinsoku/>
        <w:wordWrap/>
        <w:overflowPunct/>
        <w:topLinePunct w:val="0"/>
        <w:autoSpaceDE/>
        <w:autoSpaceDN/>
        <w:bidi w:val="0"/>
        <w:adjustRightInd/>
        <w:snapToGrid/>
        <w:spacing w:line="560" w:lineRule="exact"/>
        <w:ind w:right="481" w:rightChars="229"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招收2-6岁学龄前儿童，为其提供幼儿教育、保育服务。</w:t>
      </w:r>
    </w:p>
    <w:p w14:paraId="4BBDCB52">
      <w:pPr>
        <w:pStyle w:val="4"/>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（1）贯彻执行党和国家有关幼儿教育的方针、政策以及教育法律法规，坚持正确的办园方向。</w:t>
      </w:r>
    </w:p>
    <w:p w14:paraId="4BDC17F0">
      <w:pPr>
        <w:pStyle w:val="4"/>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（2）实行保育与教育相结合的原则，对幼儿实施德、智、体、美、劳全面发展的教育，促进其身心和谐发展。</w:t>
      </w:r>
    </w:p>
    <w:p w14:paraId="5AAB5F24">
      <w:pPr>
        <w:pStyle w:val="4"/>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（3）与家庭、社区密切配合，做好幼儿家长工作，达到家园共建，共同为幼儿创造一个良好的成长环境。</w:t>
      </w:r>
    </w:p>
    <w:p w14:paraId="20333B10">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kern w:val="2"/>
          <w:sz w:val="32"/>
          <w:szCs w:val="32"/>
          <w:lang w:val="en-US" w:eastAsia="zh-CN" w:bidi="ar-SA"/>
        </w:rPr>
      </w:pPr>
      <w:r>
        <w:rPr>
          <w:rFonts w:ascii="Times New Roman" w:hAnsi="Times New Roman" w:eastAsia="仿宋_GB2312" w:cs="Times New Roman"/>
          <w:b w:val="0"/>
          <w:bCs w:val="0"/>
          <w:color w:val="auto"/>
          <w:kern w:val="2"/>
          <w:sz w:val="32"/>
          <w:szCs w:val="32"/>
          <w:lang w:val="en-US" w:eastAsia="zh-CN" w:bidi="ar-SA"/>
        </w:rPr>
        <w:t>2.机构设置</w:t>
      </w:r>
    </w:p>
    <w:p w14:paraId="1A07362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我单位</w:t>
      </w:r>
      <w:r>
        <w:rPr>
          <w:rFonts w:ascii="Times New Roman" w:hAnsi="Times New Roman" w:eastAsia="仿宋_GB2312" w:cs="Times New Roman"/>
          <w:b w:val="0"/>
          <w:bCs w:val="0"/>
          <w:color w:val="auto"/>
          <w:kern w:val="2"/>
          <w:sz w:val="32"/>
          <w:szCs w:val="32"/>
          <w:lang w:val="en-US" w:eastAsia="zh-CN" w:bidi="ar-SA"/>
        </w:rPr>
        <w:t>内设</w:t>
      </w:r>
      <w:r>
        <w:rPr>
          <w:rFonts w:hint="eastAsia" w:ascii="Times New Roman" w:hAnsi="Times New Roman" w:eastAsia="仿宋_GB2312" w:cs="Times New Roman"/>
          <w:b w:val="0"/>
          <w:bCs w:val="0"/>
          <w:color w:val="auto"/>
          <w:kern w:val="2"/>
          <w:sz w:val="32"/>
          <w:szCs w:val="32"/>
          <w:lang w:val="en-US" w:eastAsia="zh-CN" w:bidi="ar-SA"/>
        </w:rPr>
        <w:t>办公室（行知联盟联络处）、教科室、保教部、艺体部、托育中心（外派）、年级组、后勤部。</w:t>
      </w:r>
    </w:p>
    <w:p w14:paraId="4AE7319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3.人员情况</w:t>
      </w:r>
    </w:p>
    <w:p w14:paraId="529A8640">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幼儿园核定编制数</w:t>
      </w:r>
      <w:r>
        <w:rPr>
          <w:rFonts w:hint="eastAsia" w:ascii="Times New Roman" w:hAnsi="Times New Roman" w:eastAsia="仿宋_GB2312" w:cs="Times New Roman"/>
          <w:b w:val="0"/>
          <w:bCs w:val="0"/>
          <w:sz w:val="32"/>
          <w:szCs w:val="32"/>
          <w:lang w:val="en-US" w:eastAsia="zh-CN"/>
        </w:rPr>
        <w:t>78</w:t>
      </w:r>
      <w:r>
        <w:rPr>
          <w:rFonts w:ascii="Times New Roman" w:hAnsi="Times New Roman" w:eastAsia="仿宋_GB2312" w:cs="Times New Roman"/>
          <w:b w:val="0"/>
          <w:bCs w:val="0"/>
          <w:sz w:val="32"/>
          <w:szCs w:val="32"/>
        </w:rPr>
        <w:t>，截至202</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年末，实际在编在职人员</w:t>
      </w:r>
      <w:r>
        <w:rPr>
          <w:rFonts w:hint="eastAsia" w:ascii="Times New Roman" w:hAnsi="Times New Roman" w:eastAsia="仿宋_GB2312" w:cs="Times New Roman"/>
          <w:b w:val="0"/>
          <w:bCs w:val="0"/>
          <w:sz w:val="32"/>
          <w:szCs w:val="32"/>
          <w:lang w:val="en-US" w:eastAsia="zh-CN"/>
        </w:rPr>
        <w:t>71</w:t>
      </w:r>
      <w:r>
        <w:rPr>
          <w:rFonts w:ascii="Times New Roman" w:hAnsi="Times New Roman" w:eastAsia="仿宋_GB2312" w:cs="Times New Roman"/>
          <w:b w:val="0"/>
          <w:bCs w:val="0"/>
          <w:sz w:val="32"/>
          <w:szCs w:val="32"/>
        </w:rPr>
        <w:t>人，退休职工3</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人，</w:t>
      </w:r>
      <w:r>
        <w:rPr>
          <w:rFonts w:ascii="Times New Roman" w:hAnsi="Times New Roman" w:eastAsia="仿宋_GB2312" w:cs="Times New Roman"/>
          <w:b w:val="0"/>
          <w:bCs w:val="0"/>
          <w:color w:val="auto"/>
          <w:sz w:val="32"/>
          <w:szCs w:val="32"/>
          <w:highlight w:val="none"/>
        </w:rPr>
        <w:t>编外人员4</w:t>
      </w:r>
      <w:r>
        <w:rPr>
          <w:rFonts w:hint="eastAsia" w:ascii="Times New Roman" w:hAnsi="Times New Roman" w:eastAsia="仿宋_GB2312" w:cs="Times New Roman"/>
          <w:b w:val="0"/>
          <w:bCs w:val="0"/>
          <w:color w:val="auto"/>
          <w:sz w:val="32"/>
          <w:szCs w:val="32"/>
          <w:highlight w:val="none"/>
          <w:lang w:val="en-US" w:eastAsia="zh-CN"/>
        </w:rPr>
        <w:t>8</w:t>
      </w:r>
      <w:r>
        <w:rPr>
          <w:rFonts w:ascii="Times New Roman" w:hAnsi="Times New Roman" w:eastAsia="仿宋_GB2312" w:cs="Times New Roman"/>
          <w:b w:val="0"/>
          <w:bCs w:val="0"/>
          <w:color w:val="auto"/>
          <w:sz w:val="32"/>
          <w:szCs w:val="32"/>
          <w:highlight w:val="none"/>
        </w:rPr>
        <w:t>人。</w:t>
      </w:r>
    </w:p>
    <w:p w14:paraId="0C4A4237">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4.资产情况</w:t>
      </w:r>
    </w:p>
    <w:p w14:paraId="31A854AB">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年末，固定资产原值</w:t>
      </w:r>
      <w:r>
        <w:rPr>
          <w:rFonts w:hint="eastAsia" w:ascii="Times New Roman" w:hAnsi="Times New Roman" w:eastAsia="仿宋_GB2312" w:cs="Times New Roman"/>
          <w:b w:val="0"/>
          <w:bCs w:val="0"/>
          <w:sz w:val="32"/>
          <w:szCs w:val="32"/>
          <w:lang w:val="en-US" w:eastAsia="zh-CN"/>
        </w:rPr>
        <w:t>1283.81</w:t>
      </w:r>
      <w:r>
        <w:rPr>
          <w:rFonts w:ascii="Times New Roman" w:hAnsi="Times New Roman" w:eastAsia="仿宋_GB2312" w:cs="Times New Roman"/>
          <w:b w:val="0"/>
          <w:bCs w:val="0"/>
          <w:sz w:val="32"/>
          <w:szCs w:val="32"/>
        </w:rPr>
        <w:t>万元，累计折旧金额</w:t>
      </w:r>
      <w:r>
        <w:rPr>
          <w:rFonts w:hint="eastAsia" w:ascii="Times New Roman" w:hAnsi="Times New Roman" w:eastAsia="仿宋_GB2312" w:cs="Times New Roman"/>
          <w:b w:val="0"/>
          <w:bCs w:val="0"/>
          <w:sz w:val="32"/>
          <w:szCs w:val="32"/>
          <w:lang w:val="en-US" w:eastAsia="zh-CN"/>
        </w:rPr>
        <w:t>963.90</w:t>
      </w:r>
      <w:r>
        <w:rPr>
          <w:rFonts w:ascii="Times New Roman" w:hAnsi="Times New Roman" w:eastAsia="仿宋_GB2312" w:cs="Times New Roman"/>
          <w:b w:val="0"/>
          <w:bCs w:val="0"/>
          <w:sz w:val="32"/>
          <w:szCs w:val="32"/>
        </w:rPr>
        <w:t>万元，固定资产净值</w:t>
      </w:r>
      <w:r>
        <w:rPr>
          <w:rFonts w:hint="eastAsia" w:ascii="Times New Roman" w:hAnsi="Times New Roman" w:eastAsia="仿宋_GB2312" w:cs="Times New Roman"/>
          <w:b w:val="0"/>
          <w:bCs w:val="0"/>
          <w:sz w:val="32"/>
          <w:szCs w:val="32"/>
          <w:lang w:val="en-US" w:eastAsia="zh-CN"/>
        </w:rPr>
        <w:t>319.91</w:t>
      </w:r>
      <w:r>
        <w:rPr>
          <w:rFonts w:ascii="Times New Roman" w:hAnsi="Times New Roman" w:eastAsia="仿宋_GB2312" w:cs="Times New Roman"/>
          <w:b w:val="0"/>
          <w:bCs w:val="0"/>
          <w:sz w:val="32"/>
          <w:szCs w:val="32"/>
        </w:rPr>
        <w:t>万元；无形资产原值</w:t>
      </w:r>
      <w:r>
        <w:rPr>
          <w:rFonts w:hint="eastAsia" w:ascii="Times New Roman" w:hAnsi="Times New Roman" w:eastAsia="仿宋_GB2312" w:cs="Times New Roman"/>
          <w:b w:val="0"/>
          <w:bCs w:val="0"/>
          <w:sz w:val="32"/>
          <w:szCs w:val="32"/>
          <w:lang w:val="en-US" w:eastAsia="zh-CN"/>
        </w:rPr>
        <w:t>14.24</w:t>
      </w:r>
      <w:r>
        <w:rPr>
          <w:rFonts w:ascii="Times New Roman" w:hAnsi="Times New Roman" w:eastAsia="仿宋_GB2312" w:cs="Times New Roman"/>
          <w:b w:val="0"/>
          <w:bCs w:val="0"/>
          <w:sz w:val="32"/>
          <w:szCs w:val="32"/>
        </w:rPr>
        <w:t>万元，累计摊销金额</w:t>
      </w:r>
      <w:r>
        <w:rPr>
          <w:rFonts w:hint="eastAsia" w:ascii="Times New Roman" w:hAnsi="Times New Roman" w:eastAsia="仿宋_GB2312" w:cs="Times New Roman"/>
          <w:b w:val="0"/>
          <w:bCs w:val="0"/>
          <w:sz w:val="32"/>
          <w:szCs w:val="32"/>
          <w:lang w:val="en-US" w:eastAsia="zh-CN"/>
        </w:rPr>
        <w:t>10.84</w:t>
      </w:r>
      <w:r>
        <w:rPr>
          <w:rFonts w:ascii="Times New Roman" w:hAnsi="Times New Roman" w:eastAsia="仿宋_GB2312" w:cs="Times New Roman"/>
          <w:b w:val="0"/>
          <w:bCs w:val="0"/>
          <w:sz w:val="32"/>
          <w:szCs w:val="32"/>
        </w:rPr>
        <w:t>万元，无形资产净值</w:t>
      </w:r>
      <w:r>
        <w:rPr>
          <w:rFonts w:hint="eastAsia" w:ascii="Times New Roman" w:hAnsi="Times New Roman" w:eastAsia="仿宋_GB2312" w:cs="Times New Roman"/>
          <w:b w:val="0"/>
          <w:bCs w:val="0"/>
          <w:sz w:val="32"/>
          <w:szCs w:val="32"/>
          <w:lang w:val="en-US" w:eastAsia="zh-CN"/>
        </w:rPr>
        <w:t>3.40</w:t>
      </w:r>
      <w:r>
        <w:rPr>
          <w:rFonts w:ascii="Times New Roman" w:hAnsi="Times New Roman" w:eastAsia="仿宋_GB2312" w:cs="Times New Roman"/>
          <w:b w:val="0"/>
          <w:bCs w:val="0"/>
          <w:sz w:val="32"/>
          <w:szCs w:val="32"/>
        </w:rPr>
        <w:t>万元。</w:t>
      </w:r>
    </w:p>
    <w:p w14:paraId="157CDBD8">
      <w:pPr>
        <w:pStyle w:val="3"/>
        <w:pageBreakBefore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楷体" w:cs="Times New Roman"/>
          <w:b w:val="0"/>
          <w:bCs w:val="0"/>
        </w:rPr>
      </w:pPr>
      <w:r>
        <w:rPr>
          <w:rFonts w:ascii="Times New Roman" w:hAnsi="Times New Roman" w:eastAsia="楷体" w:cs="Times New Roman"/>
          <w:b w:val="0"/>
          <w:bCs w:val="0"/>
        </w:rPr>
        <w:t>（二）单位收支情况</w:t>
      </w:r>
    </w:p>
    <w:p w14:paraId="3488CCC5">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1.预算及执行情况</w:t>
      </w:r>
    </w:p>
    <w:p w14:paraId="785447CB">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年度，我单位年初预算数</w:t>
      </w:r>
      <w:r>
        <w:rPr>
          <w:rFonts w:hint="eastAsia" w:ascii="Times New Roman" w:hAnsi="Times New Roman" w:eastAsia="仿宋_GB2312" w:cs="Times New Roman"/>
          <w:b w:val="0"/>
          <w:bCs w:val="0"/>
          <w:color w:val="auto"/>
          <w:sz w:val="32"/>
          <w:szCs w:val="32"/>
          <w:lang w:val="en-US" w:eastAsia="zh-CN"/>
        </w:rPr>
        <w:t>3095.36</w:t>
      </w:r>
      <w:r>
        <w:rPr>
          <w:rFonts w:ascii="Times New Roman" w:hAnsi="Times New Roman" w:eastAsia="仿宋_GB2312" w:cs="Times New Roman"/>
          <w:b w:val="0"/>
          <w:bCs w:val="0"/>
          <w:color w:val="auto"/>
          <w:sz w:val="32"/>
          <w:szCs w:val="32"/>
        </w:rPr>
        <w:t>万元，调整后预算数</w:t>
      </w:r>
      <w:r>
        <w:rPr>
          <w:rFonts w:hint="eastAsia" w:ascii="Times New Roman" w:hAnsi="Times New Roman" w:eastAsia="仿宋_GB2312" w:cs="Times New Roman"/>
          <w:b w:val="0"/>
          <w:bCs w:val="0"/>
          <w:color w:val="auto"/>
          <w:sz w:val="32"/>
          <w:szCs w:val="32"/>
          <w:lang w:val="en-US" w:eastAsia="zh-CN"/>
        </w:rPr>
        <w:t>3430.05</w:t>
      </w:r>
      <w:r>
        <w:rPr>
          <w:rFonts w:ascii="Times New Roman" w:hAnsi="Times New Roman" w:eastAsia="仿宋_GB2312" w:cs="Times New Roman"/>
          <w:b w:val="0"/>
          <w:bCs w:val="0"/>
          <w:color w:val="auto"/>
          <w:sz w:val="32"/>
          <w:szCs w:val="32"/>
        </w:rPr>
        <w:t>万元，决算数</w:t>
      </w:r>
      <w:r>
        <w:rPr>
          <w:rFonts w:hint="eastAsia" w:ascii="Times New Roman" w:hAnsi="Times New Roman" w:eastAsia="仿宋_GB2312" w:cs="Times New Roman"/>
          <w:b w:val="0"/>
          <w:bCs w:val="0"/>
          <w:color w:val="auto"/>
          <w:sz w:val="32"/>
          <w:szCs w:val="32"/>
          <w:lang w:val="en-US" w:eastAsia="zh-CN"/>
        </w:rPr>
        <w:t>3377.11</w:t>
      </w:r>
      <w:r>
        <w:rPr>
          <w:rFonts w:ascii="Times New Roman" w:hAnsi="Times New Roman" w:eastAsia="仿宋_GB2312" w:cs="Times New Roman"/>
          <w:b w:val="0"/>
          <w:bCs w:val="0"/>
          <w:color w:val="auto"/>
          <w:sz w:val="32"/>
          <w:szCs w:val="32"/>
        </w:rPr>
        <w:t>万元，年末结转和结余</w:t>
      </w:r>
      <w:r>
        <w:rPr>
          <w:rFonts w:hint="eastAsia" w:ascii="Times New Roman" w:hAnsi="Times New Roman" w:eastAsia="仿宋_GB2312" w:cs="Times New Roman"/>
          <w:b w:val="0"/>
          <w:bCs w:val="0"/>
          <w:color w:val="auto"/>
          <w:sz w:val="32"/>
          <w:szCs w:val="32"/>
          <w:lang w:val="en-US" w:eastAsia="zh-CN"/>
        </w:rPr>
        <w:t>52.94</w:t>
      </w:r>
      <w:r>
        <w:rPr>
          <w:rFonts w:ascii="Times New Roman" w:hAnsi="Times New Roman" w:eastAsia="仿宋_GB2312" w:cs="Times New Roman"/>
          <w:b w:val="0"/>
          <w:bCs w:val="0"/>
          <w:color w:val="auto"/>
          <w:sz w:val="32"/>
          <w:szCs w:val="32"/>
        </w:rPr>
        <w:t>万元，整体预算调整率</w:t>
      </w:r>
      <w:r>
        <w:rPr>
          <w:rFonts w:hint="eastAsia" w:ascii="Times New Roman" w:hAnsi="Times New Roman" w:eastAsia="仿宋_GB2312" w:cs="Times New Roman"/>
          <w:b w:val="0"/>
          <w:bCs w:val="0"/>
          <w:color w:val="auto"/>
          <w:sz w:val="32"/>
          <w:szCs w:val="32"/>
          <w:lang w:val="en-US" w:eastAsia="zh-CN"/>
        </w:rPr>
        <w:t>10.81%</w:t>
      </w:r>
      <w:r>
        <w:rPr>
          <w:rFonts w:ascii="Times New Roman" w:hAnsi="Times New Roman" w:eastAsia="仿宋_GB2312" w:cs="Times New Roman"/>
          <w:b w:val="0"/>
          <w:bCs w:val="0"/>
          <w:color w:val="auto"/>
          <w:sz w:val="32"/>
          <w:szCs w:val="32"/>
        </w:rPr>
        <w:t>，整体支出预算执行率</w:t>
      </w:r>
      <w:r>
        <w:rPr>
          <w:rFonts w:hint="eastAsia" w:ascii="Times New Roman" w:hAnsi="Times New Roman" w:eastAsia="仿宋_GB2312" w:cs="Times New Roman"/>
          <w:b w:val="0"/>
          <w:bCs w:val="0"/>
          <w:color w:val="auto"/>
          <w:sz w:val="32"/>
          <w:szCs w:val="32"/>
          <w:lang w:val="en-US" w:eastAsia="zh-CN"/>
        </w:rPr>
        <w:t>98.46%</w:t>
      </w:r>
      <w:r>
        <w:rPr>
          <w:rFonts w:ascii="Times New Roman" w:hAnsi="Times New Roman" w:eastAsia="仿宋_GB2312" w:cs="Times New Roman"/>
          <w:b w:val="0"/>
          <w:bCs w:val="0"/>
          <w:color w:val="auto"/>
          <w:sz w:val="32"/>
          <w:szCs w:val="32"/>
        </w:rPr>
        <w:t>。</w:t>
      </w:r>
    </w:p>
    <w:p w14:paraId="79A23CF5">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2.“三公两费”使用情况</w:t>
      </w:r>
    </w:p>
    <w:p w14:paraId="18D7718B">
      <w:pPr>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年度，我单位“三公两费”共支出</w:t>
      </w:r>
      <w:r>
        <w:rPr>
          <w:rFonts w:hint="eastAsia" w:ascii="Times New Roman" w:hAnsi="Times New Roman" w:eastAsia="仿宋_GB2312" w:cs="Times New Roman"/>
          <w:b w:val="0"/>
          <w:bCs w:val="0"/>
          <w:color w:val="auto"/>
          <w:sz w:val="32"/>
          <w:szCs w:val="32"/>
          <w:lang w:val="en-US" w:eastAsia="zh-CN"/>
        </w:rPr>
        <w:t>12.11</w:t>
      </w:r>
      <w:r>
        <w:rPr>
          <w:rFonts w:ascii="Times New Roman" w:hAnsi="Times New Roman" w:eastAsia="仿宋_GB2312" w:cs="Times New Roman"/>
          <w:b w:val="0"/>
          <w:bCs w:val="0"/>
          <w:color w:val="auto"/>
          <w:sz w:val="32"/>
          <w:szCs w:val="32"/>
        </w:rPr>
        <w:t>万元，其中“三公经费”共支出</w:t>
      </w:r>
      <w:r>
        <w:rPr>
          <w:rFonts w:hint="eastAsia" w:ascii="Times New Roman" w:hAnsi="Times New Roman" w:eastAsia="仿宋_GB2312" w:cs="Times New Roman"/>
          <w:b w:val="0"/>
          <w:bCs w:val="0"/>
          <w:color w:val="auto"/>
          <w:sz w:val="32"/>
          <w:szCs w:val="32"/>
          <w:lang w:val="en-US" w:eastAsia="zh-CN"/>
        </w:rPr>
        <w:t>3.14</w:t>
      </w:r>
      <w:r>
        <w:rPr>
          <w:rFonts w:ascii="Times New Roman" w:hAnsi="Times New Roman" w:eastAsia="仿宋_GB2312" w:cs="Times New Roman"/>
          <w:b w:val="0"/>
          <w:bCs w:val="0"/>
          <w:color w:val="auto"/>
          <w:sz w:val="32"/>
          <w:szCs w:val="32"/>
        </w:rPr>
        <w:t>万元（因公出国（境）费</w:t>
      </w:r>
      <w:r>
        <w:rPr>
          <w:rFonts w:hint="eastAsia" w:ascii="Times New Roman" w:hAnsi="Times New Roman" w:eastAsia="仿宋_GB2312" w:cs="Times New Roman"/>
          <w:b w:val="0"/>
          <w:bCs w:val="0"/>
          <w:color w:val="auto"/>
          <w:sz w:val="32"/>
          <w:szCs w:val="32"/>
          <w:lang w:val="en-US" w:eastAsia="zh-CN"/>
        </w:rPr>
        <w:t>2.49</w:t>
      </w:r>
      <w:r>
        <w:rPr>
          <w:rFonts w:ascii="Times New Roman" w:hAnsi="Times New Roman" w:eastAsia="仿宋_GB2312" w:cs="Times New Roman"/>
          <w:b w:val="0"/>
          <w:bCs w:val="0"/>
          <w:color w:val="auto"/>
          <w:sz w:val="32"/>
          <w:szCs w:val="32"/>
        </w:rPr>
        <w:t>万元、公务用车购置及运行维护费</w:t>
      </w:r>
      <w:r>
        <w:rPr>
          <w:rFonts w:hint="eastAsia" w:ascii="Times New Roman" w:hAnsi="Times New Roman" w:eastAsia="仿宋_GB2312" w:cs="Times New Roman"/>
          <w:b w:val="0"/>
          <w:bCs w:val="0"/>
          <w:color w:val="auto"/>
          <w:sz w:val="32"/>
          <w:szCs w:val="32"/>
          <w:lang w:val="en-US" w:eastAsia="zh-CN"/>
        </w:rPr>
        <w:t>0.65</w:t>
      </w:r>
      <w:r>
        <w:rPr>
          <w:rFonts w:ascii="Times New Roman" w:hAnsi="Times New Roman" w:eastAsia="仿宋_GB2312" w:cs="Times New Roman"/>
          <w:b w:val="0"/>
          <w:bCs w:val="0"/>
          <w:color w:val="auto"/>
          <w:sz w:val="32"/>
          <w:szCs w:val="32"/>
        </w:rPr>
        <w:t>万元、公务接待费0万元）、会议费支出</w:t>
      </w:r>
      <w:r>
        <w:rPr>
          <w:rFonts w:hint="eastAsia" w:ascii="Times New Roman" w:hAnsi="Times New Roman" w:eastAsia="仿宋_GB2312" w:cs="Times New Roman"/>
          <w:b w:val="0"/>
          <w:bCs w:val="0"/>
          <w:color w:val="auto"/>
          <w:sz w:val="32"/>
          <w:szCs w:val="32"/>
          <w:lang w:val="en-US" w:eastAsia="zh-CN"/>
        </w:rPr>
        <w:t>2.12</w:t>
      </w:r>
      <w:r>
        <w:rPr>
          <w:rFonts w:ascii="Times New Roman" w:hAnsi="Times New Roman" w:eastAsia="仿宋_GB2312" w:cs="Times New Roman"/>
          <w:b w:val="0"/>
          <w:bCs w:val="0"/>
          <w:color w:val="auto"/>
          <w:sz w:val="32"/>
          <w:szCs w:val="32"/>
        </w:rPr>
        <w:t>万元、培训费支出</w:t>
      </w:r>
      <w:r>
        <w:rPr>
          <w:rFonts w:hint="eastAsia" w:ascii="Times New Roman" w:hAnsi="Times New Roman" w:eastAsia="仿宋_GB2312" w:cs="Times New Roman"/>
          <w:b w:val="0"/>
          <w:bCs w:val="0"/>
          <w:color w:val="auto"/>
          <w:sz w:val="32"/>
          <w:szCs w:val="32"/>
          <w:lang w:val="en-US" w:eastAsia="zh-CN"/>
        </w:rPr>
        <w:t>6.85</w:t>
      </w:r>
      <w:r>
        <w:rPr>
          <w:rFonts w:ascii="Times New Roman" w:hAnsi="Times New Roman" w:eastAsia="仿宋_GB2312" w:cs="Times New Roman"/>
          <w:b w:val="0"/>
          <w:bCs w:val="0"/>
          <w:color w:val="auto"/>
          <w:sz w:val="32"/>
          <w:szCs w:val="32"/>
        </w:rPr>
        <w:t>万元。</w:t>
      </w:r>
    </w:p>
    <w:p w14:paraId="4582E0A9">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3.项目资金使用情况</w:t>
      </w:r>
    </w:p>
    <w:p w14:paraId="6D75E8E8">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0000FF"/>
          <w:sz w:val="32"/>
          <w:szCs w:val="32"/>
        </w:rPr>
      </w:pP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年度，我单位项目收入数</w:t>
      </w:r>
      <w:r>
        <w:rPr>
          <w:rFonts w:hint="eastAsia" w:ascii="Times New Roman" w:hAnsi="Times New Roman" w:eastAsia="仿宋_GB2312" w:cs="Times New Roman"/>
          <w:b w:val="0"/>
          <w:bCs w:val="0"/>
          <w:color w:val="auto"/>
          <w:sz w:val="32"/>
          <w:szCs w:val="32"/>
          <w:lang w:val="en-US" w:eastAsia="zh-CN"/>
        </w:rPr>
        <w:t>516.54</w:t>
      </w:r>
      <w:r>
        <w:rPr>
          <w:rFonts w:ascii="Times New Roman" w:hAnsi="Times New Roman" w:eastAsia="仿宋_GB2312" w:cs="Times New Roman"/>
          <w:b w:val="0"/>
          <w:bCs w:val="0"/>
          <w:color w:val="auto"/>
          <w:sz w:val="32"/>
          <w:szCs w:val="32"/>
        </w:rPr>
        <w:t>万元、支出数</w:t>
      </w:r>
      <w:r>
        <w:rPr>
          <w:rFonts w:hint="eastAsia" w:ascii="Times New Roman" w:hAnsi="Times New Roman" w:eastAsia="仿宋_GB2312" w:cs="Times New Roman"/>
          <w:b w:val="0"/>
          <w:bCs w:val="0"/>
          <w:color w:val="auto"/>
          <w:sz w:val="32"/>
          <w:szCs w:val="32"/>
          <w:lang w:val="en-US" w:eastAsia="zh-CN"/>
        </w:rPr>
        <w:t>463.60</w:t>
      </w:r>
      <w:r>
        <w:rPr>
          <w:rFonts w:ascii="Times New Roman" w:hAnsi="Times New Roman" w:eastAsia="仿宋_GB2312" w:cs="Times New Roman"/>
          <w:b w:val="0"/>
          <w:bCs w:val="0"/>
          <w:color w:val="auto"/>
          <w:sz w:val="32"/>
          <w:szCs w:val="32"/>
        </w:rPr>
        <w:t>万元，年末结转和结余</w:t>
      </w:r>
      <w:r>
        <w:rPr>
          <w:rFonts w:hint="eastAsia" w:ascii="Times New Roman" w:hAnsi="Times New Roman" w:eastAsia="仿宋_GB2312" w:cs="Times New Roman"/>
          <w:b w:val="0"/>
          <w:bCs w:val="0"/>
          <w:color w:val="auto"/>
          <w:sz w:val="32"/>
          <w:szCs w:val="32"/>
          <w:lang w:val="en-US" w:eastAsia="zh-CN"/>
        </w:rPr>
        <w:t>52.94</w:t>
      </w:r>
      <w:r>
        <w:rPr>
          <w:rFonts w:ascii="Times New Roman" w:hAnsi="Times New Roman" w:eastAsia="仿宋_GB2312" w:cs="Times New Roman"/>
          <w:b w:val="0"/>
          <w:bCs w:val="0"/>
          <w:color w:val="auto"/>
          <w:sz w:val="32"/>
          <w:szCs w:val="32"/>
        </w:rPr>
        <w:t>万元。</w:t>
      </w:r>
    </w:p>
    <w:p w14:paraId="5B980215">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cs="Times New Roman"/>
          <w:b w:val="0"/>
          <w:bCs w:val="0"/>
          <w:color w:val="auto"/>
          <w:kern w:val="0"/>
          <w:sz w:val="32"/>
          <w:szCs w:val="32"/>
        </w:rPr>
      </w:pPr>
      <w:r>
        <w:rPr>
          <w:rFonts w:ascii="Times New Roman" w:hAnsi="Times New Roman" w:eastAsia="楷体" w:cs="Times New Roman"/>
          <w:b w:val="0"/>
          <w:bCs w:val="0"/>
          <w:color w:val="auto"/>
          <w:kern w:val="0"/>
          <w:sz w:val="32"/>
          <w:szCs w:val="32"/>
        </w:rPr>
        <w:t>（三）单位绩效目标</w:t>
      </w:r>
    </w:p>
    <w:p w14:paraId="28A2C41A">
      <w:pPr>
        <w:pStyle w:val="18"/>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Times New Roman" w:hAnsi="Times New Roman" w:cs="Times New Roman"/>
          <w:b w:val="0"/>
          <w:bCs w:val="0"/>
          <w:color w:val="auto"/>
          <w:kern w:val="0"/>
          <w:sz w:val="32"/>
          <w:szCs w:val="32"/>
        </w:rPr>
      </w:pPr>
      <w:r>
        <w:rPr>
          <w:rFonts w:hint="eastAsia" w:ascii="Times New Roman" w:hAnsi="Times New Roman" w:cs="Times New Roman"/>
          <w:b w:val="0"/>
          <w:bCs w:val="0"/>
          <w:color w:val="auto"/>
          <w:kern w:val="0"/>
          <w:sz w:val="32"/>
          <w:szCs w:val="32"/>
          <w:lang w:val="en-US" w:eastAsia="zh-CN"/>
        </w:rPr>
        <w:t>1.</w:t>
      </w:r>
      <w:r>
        <w:rPr>
          <w:rFonts w:ascii="Times New Roman" w:hAnsi="Times New Roman" w:cs="Times New Roman"/>
          <w:b w:val="0"/>
          <w:bCs w:val="0"/>
          <w:color w:val="auto"/>
          <w:kern w:val="0"/>
          <w:sz w:val="32"/>
          <w:szCs w:val="32"/>
        </w:rPr>
        <w:t>中长期阶段性目标</w:t>
      </w:r>
    </w:p>
    <w:p w14:paraId="4CAC1C85">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1</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文化建设方面：形成特色鲜明的校园文化理念，在全国范围内推广成效显著，文化品牌得到明显认可。儿童艺术馆形成独立品牌，成为艺术文化教育示范基地和儿童艺术教育交流的窗口。</w:t>
      </w:r>
    </w:p>
    <w:p w14:paraId="2A5B9156">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2</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课程建设方面：园本课程成果丰厚，推广性强，立项具有前瞻性、战略性的国家级基础教育内涵建设项目，争取获得江苏省教科院授予的江苏省幼儿教育科研基地，</w:t>
      </w:r>
      <w:r>
        <w:rPr>
          <w:rFonts w:hint="eastAsia" w:ascii="仿宋_GB2312" w:hAnsi="楷体" w:eastAsia="仿宋_GB2312"/>
          <w:b w:val="0"/>
          <w:bCs w:val="0"/>
          <w:color w:val="auto"/>
          <w:sz w:val="32"/>
          <w:szCs w:val="32"/>
          <w:lang w:val="en-US" w:eastAsia="zh-CN"/>
        </w:rPr>
        <w:t>在</w:t>
      </w:r>
      <w:r>
        <w:rPr>
          <w:rFonts w:hint="eastAsia" w:ascii="仿宋_GB2312" w:hAnsi="楷体" w:eastAsia="仿宋_GB2312"/>
          <w:b w:val="0"/>
          <w:bCs w:val="0"/>
          <w:color w:val="auto"/>
          <w:sz w:val="32"/>
          <w:szCs w:val="32"/>
        </w:rPr>
        <w:t>区域内发挥园本课程研究成果的示范引领和辐射带动作用明显。</w:t>
      </w:r>
    </w:p>
    <w:p w14:paraId="0DF60B44">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3</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队伍建设方面：教师队伍在师德修养、学科素养、业务能力、带头作用等方面能力增强，建设一支在市级范围内有一定影响力的骨干教师团队。力争培养省市级名师，在学前教育领域发挥领衔作用。</w:t>
      </w:r>
    </w:p>
    <w:p w14:paraId="10BCEF6A">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4</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儿童发展方面：幼儿在德、智、体、美、劳方面的发展较为显著，成为集真善美于一身的“完整儿童”，争做“新时代小先生”，遵循自身发展规律，向阳向美自然生长。</w:t>
      </w:r>
    </w:p>
    <w:p w14:paraId="4F960C89">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u w:val="none" w:color="000000"/>
          <w:lang w:val="zh-TW" w:eastAsia="zh-TW"/>
        </w:rPr>
      </w:pP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lang w:val="en-US" w:eastAsia="zh-CN"/>
        </w:rPr>
        <w:t>5</w:t>
      </w:r>
      <w:r>
        <w:rPr>
          <w:rFonts w:hint="eastAsia" w:ascii="仿宋_GB2312" w:hAnsi="楷体" w:eastAsia="仿宋_GB2312"/>
          <w:b w:val="0"/>
          <w:bCs w:val="0"/>
          <w:color w:val="auto"/>
          <w:sz w:val="32"/>
          <w:szCs w:val="32"/>
          <w:lang w:eastAsia="zh-CN"/>
        </w:rPr>
        <w:t>）</w:t>
      </w:r>
      <w:r>
        <w:rPr>
          <w:rFonts w:hint="eastAsia" w:ascii="仿宋_GB2312" w:hAnsi="楷体" w:eastAsia="仿宋_GB2312"/>
          <w:b w:val="0"/>
          <w:bCs w:val="0"/>
          <w:color w:val="auto"/>
          <w:sz w:val="32"/>
          <w:szCs w:val="32"/>
        </w:rPr>
        <w:t>品牌推广方面：建立“禾美”教育品牌，在行业内具有辐射和引领作用。陶行知教育思想幼教联盟在全国学前教育领域内具有较强的社会影响力，成为践行陶行知教育思想的一面旗帜。</w:t>
      </w:r>
    </w:p>
    <w:p w14:paraId="06EFCDC3">
      <w:pPr>
        <w:pStyle w:val="18"/>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ascii="Times New Roman" w:hAnsi="Times New Roman" w:cs="Times New Roman"/>
          <w:b w:val="0"/>
          <w:bCs w:val="0"/>
          <w:color w:val="auto"/>
          <w:kern w:val="0"/>
          <w:sz w:val="32"/>
          <w:szCs w:val="32"/>
        </w:rPr>
      </w:pPr>
      <w:r>
        <w:rPr>
          <w:rFonts w:ascii="Times New Roman" w:hAnsi="Times New Roman" w:cs="Times New Roman"/>
          <w:b w:val="0"/>
          <w:bCs w:val="0"/>
          <w:color w:val="auto"/>
          <w:kern w:val="0"/>
          <w:sz w:val="32"/>
          <w:szCs w:val="32"/>
        </w:rPr>
        <w:t>2.年度目标</w:t>
      </w:r>
    </w:p>
    <w:p w14:paraId="079B21B3">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lang w:val="en-US"/>
        </w:rPr>
      </w:pPr>
      <w:r>
        <w:rPr>
          <w:rFonts w:hint="eastAsia" w:ascii="仿宋_GB2312" w:hAnsi="楷体" w:eastAsia="仿宋_GB2312"/>
          <w:b w:val="0"/>
          <w:bCs w:val="0"/>
          <w:color w:val="auto"/>
          <w:sz w:val="32"/>
          <w:szCs w:val="32"/>
        </w:rPr>
        <w:t>一是品牌先行。争做幼教实干家，完善联盟运作机制，推选区域盟主，召开区域盟主会议与江苏省+南京都市圈范围的联盟主题活动，将教育家精神转化为理想信念，转化为教育教学行动。把握幼教民生属性，充分发挥托育研究中心作用，聚焦社会托育和家庭育儿服务需求开展托育教学研究和公益育儿讲座，助力0-3岁婴幼儿照护服务高质量发展。开辟品牌宣传新赛道，发挥自媒体作用，开发视频号，动态呈现校园活动，并借助国家省市级主流媒体与教育专刊，扩大园所品牌影响力。举办第六届文化艺术节、第四届亲子运动会，策划建园十周年系列活动，全面呈现机关二幼办园成果。强化教育政治属性，着力打造幼儿园党建工作品牌，成立“晓小禾托育亲子成长营”，深化党建与业务融合，展现机关幼教人的优良形象。</w:t>
      </w:r>
    </w:p>
    <w:p w14:paraId="5F2BDE3A">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lang w:val="en-US"/>
        </w:rPr>
      </w:pPr>
      <w:r>
        <w:rPr>
          <w:rFonts w:hint="eastAsia" w:ascii="仿宋_GB2312" w:hAnsi="楷体" w:eastAsia="仿宋_GB2312"/>
          <w:b w:val="0"/>
          <w:bCs w:val="0"/>
          <w:color w:val="auto"/>
          <w:sz w:val="32"/>
          <w:szCs w:val="32"/>
        </w:rPr>
        <w:t>二是科研绘图。科研发展抢先机，借助市区教科所和国家级知名专家的学术平台力量，全面推进江苏省“十四五”重点规划课题研究，为申报省级以上基础教育成果奖做好充分准备。专著出版加速度，发行《我和动物朋友》</w:t>
      </w:r>
      <w:r>
        <w:rPr>
          <w:rFonts w:hint="eastAsia" w:ascii="仿宋_GB2312" w:hAnsi="楷体" w:eastAsia="仿宋_GB2312"/>
          <w:b w:val="0"/>
          <w:bCs w:val="0"/>
          <w:color w:val="auto"/>
          <w:sz w:val="32"/>
          <w:szCs w:val="32"/>
          <w:lang w:val="en-US" w:eastAsia="zh-CN"/>
        </w:rPr>
        <w:t>主题</w:t>
      </w:r>
      <w:r>
        <w:rPr>
          <w:rFonts w:hint="eastAsia" w:ascii="仿宋_GB2312" w:hAnsi="楷体" w:eastAsia="仿宋_GB2312"/>
          <w:b w:val="0"/>
          <w:bCs w:val="0"/>
          <w:color w:val="auto"/>
          <w:sz w:val="32"/>
          <w:szCs w:val="32"/>
        </w:rPr>
        <w:t>绘本，力争完成《</w:t>
      </w:r>
      <w:r>
        <w:rPr>
          <w:rFonts w:hint="eastAsia" w:ascii="仿宋_GB2312" w:hAnsi="楷体" w:eastAsia="仿宋_GB2312"/>
          <w:b w:val="0"/>
          <w:bCs w:val="0"/>
          <w:color w:val="auto"/>
          <w:sz w:val="32"/>
          <w:szCs w:val="32"/>
          <w:lang w:val="en-US" w:eastAsia="zh-CN"/>
        </w:rPr>
        <w:t>我们都是</w:t>
      </w:r>
      <w:r>
        <w:rPr>
          <w:rFonts w:hint="eastAsia" w:ascii="仿宋_GB2312" w:hAnsi="楷体" w:eastAsia="仿宋_GB2312"/>
          <w:b w:val="0"/>
          <w:bCs w:val="0"/>
          <w:color w:val="auto"/>
          <w:sz w:val="32"/>
          <w:szCs w:val="32"/>
        </w:rPr>
        <w:t>小先生》《托育园课程理论与实践》两册书籍专著的出版初稿。禾美课程创新链。组建由教师、幼儿、保健、食堂四方联动的“禾美食育团”，制定“禾美食育”营养膳食合集，丰富“禾美生活历”“小先生日记”的深度研究，充实禾美生活课程研究成果。</w:t>
      </w:r>
    </w:p>
    <w:p w14:paraId="0B98B019">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lang w:val="en-US"/>
        </w:rPr>
      </w:pPr>
      <w:r>
        <w:rPr>
          <w:rFonts w:hint="eastAsia" w:ascii="仿宋_GB2312" w:hAnsi="楷体" w:eastAsia="仿宋_GB2312"/>
          <w:b w:val="0"/>
          <w:bCs w:val="0"/>
          <w:color w:val="auto"/>
          <w:sz w:val="32"/>
          <w:szCs w:val="32"/>
        </w:rPr>
        <w:t>三是队伍提升。以教育家精神为引领，强化高素质教师队伍建设。组织教师前往外省陶行知创办校走访研学，大力弘扬教育家精神，拓展教师队伍培养新思路。以特级名师为引领，制定名师后备培育规划，与省特级教师、市级名师进行师徒签约，加大幼儿园骨干队伍培养力度。以“晓禾研学”为引领，通过骨干先行，促进园所教师队伍的整体提升，同时加强中层干部参与园务管理工作的深度和广度。</w:t>
      </w:r>
    </w:p>
    <w:p w14:paraId="2127478C">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楷体" w:eastAsia="仿宋_GB2312"/>
          <w:b w:val="0"/>
          <w:bCs w:val="0"/>
          <w:color w:val="auto"/>
          <w:sz w:val="32"/>
          <w:szCs w:val="32"/>
        </w:rPr>
      </w:pPr>
      <w:r>
        <w:rPr>
          <w:rFonts w:hint="eastAsia" w:ascii="仿宋_GB2312" w:hAnsi="楷体" w:eastAsia="仿宋_GB2312"/>
          <w:b w:val="0"/>
          <w:bCs w:val="0"/>
          <w:color w:val="auto"/>
          <w:sz w:val="32"/>
          <w:szCs w:val="32"/>
        </w:rPr>
        <w:t>四是安全为本。保持安全稳定的良好局面，开展防火、防暴、地震等常态化演练和实操培训，完善安全应急预案，增加安全隐患排查频次，由专人全程跟踪维修过程，形成安全排查处理闭环。打造“陶”味浓厚的游戏实景，翻新改造锄禾园、幼儿户外沙水玩泥区，为幼儿创设安全、有趣的禾美生活游戏环境，支持幼儿全面发展。</w:t>
      </w:r>
    </w:p>
    <w:p w14:paraId="236D475E">
      <w:pPr>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二、评价结论</w:t>
      </w:r>
    </w:p>
    <w:p w14:paraId="1A7D89F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评价的对象是南京晓庄学院实验幼儿园（南京市市级机关第二幼儿园）本级；评价范围是202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年度部门预算资金；以指标体系为基础，按照制定的评价标准与评分规则，以100分为评价标杆分值，从部门决策、部门管理、部门履职、履职绩效、可持续发展能力等五个方面对我</w:t>
      </w:r>
      <w:r>
        <w:rPr>
          <w:rFonts w:hint="eastAsia" w:ascii="Times New Roman" w:hAnsi="Times New Roman" w:eastAsia="仿宋_GB2312" w:cs="Times New Roman"/>
          <w:b w:val="0"/>
          <w:bCs w:val="0"/>
          <w:color w:val="auto"/>
          <w:sz w:val="32"/>
          <w:szCs w:val="32"/>
          <w:lang w:val="en-US" w:eastAsia="zh-CN"/>
        </w:rPr>
        <w:t>单位</w:t>
      </w:r>
      <w:r>
        <w:rPr>
          <w:rFonts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4</w:t>
      </w:r>
      <w:r>
        <w:rPr>
          <w:rFonts w:ascii="Times New Roman" w:hAnsi="Times New Roman" w:eastAsia="仿宋_GB2312" w:cs="Times New Roman"/>
          <w:b w:val="0"/>
          <w:bCs w:val="0"/>
          <w:color w:val="auto"/>
          <w:sz w:val="32"/>
          <w:szCs w:val="32"/>
        </w:rPr>
        <w:t>年度部门整体绩效进行综合评价和量化打分，</w:t>
      </w:r>
      <w:r>
        <w:rPr>
          <w:rFonts w:ascii="Times New Roman" w:hAnsi="Times New Roman" w:eastAsia="仿宋_GB2312" w:cs="Times New Roman"/>
          <w:b w:val="0"/>
          <w:bCs w:val="0"/>
          <w:color w:val="auto"/>
          <w:sz w:val="32"/>
          <w:szCs w:val="32"/>
          <w:highlight w:val="none"/>
        </w:rPr>
        <w:t>评分结果为</w:t>
      </w:r>
      <w:r>
        <w:rPr>
          <w:rFonts w:hint="eastAsia" w:ascii="Times New Roman" w:hAnsi="Times New Roman" w:eastAsia="仿宋_GB2312" w:cs="Times New Roman"/>
          <w:b w:val="0"/>
          <w:bCs w:val="0"/>
          <w:color w:val="auto"/>
          <w:sz w:val="32"/>
          <w:szCs w:val="32"/>
          <w:highlight w:val="none"/>
          <w:lang w:val="en-US" w:eastAsia="zh-CN"/>
        </w:rPr>
        <w:t>97.88</w:t>
      </w:r>
      <w:r>
        <w:rPr>
          <w:rFonts w:ascii="Times New Roman" w:hAnsi="Times New Roman" w:eastAsia="仿宋_GB2312" w:cs="Times New Roman"/>
          <w:b w:val="0"/>
          <w:bCs w:val="0"/>
          <w:color w:val="auto"/>
          <w:sz w:val="32"/>
          <w:szCs w:val="32"/>
          <w:highlight w:val="none"/>
        </w:rPr>
        <w:t>分，详见附件《202</w:t>
      </w:r>
      <w:r>
        <w:rPr>
          <w:rFonts w:hint="eastAsia" w:ascii="Times New Roman" w:hAnsi="Times New Roman" w:eastAsia="仿宋_GB2312" w:cs="Times New Roman"/>
          <w:b w:val="0"/>
          <w:bCs w:val="0"/>
          <w:color w:val="auto"/>
          <w:sz w:val="32"/>
          <w:szCs w:val="32"/>
          <w:highlight w:val="none"/>
          <w:lang w:val="en-US" w:eastAsia="zh-CN"/>
        </w:rPr>
        <w:t>4</w:t>
      </w:r>
      <w:r>
        <w:rPr>
          <w:rFonts w:ascii="Times New Roman" w:hAnsi="Times New Roman" w:eastAsia="仿宋_GB2312" w:cs="Times New Roman"/>
          <w:b w:val="0"/>
          <w:bCs w:val="0"/>
          <w:color w:val="auto"/>
          <w:sz w:val="32"/>
          <w:szCs w:val="32"/>
          <w:highlight w:val="none"/>
        </w:rPr>
        <w:t>年度整体支出绩效评价指标表》，等级“优”</w:t>
      </w:r>
      <w:r>
        <w:rPr>
          <w:rFonts w:ascii="Times New Roman" w:hAnsi="Times New Roman" w:eastAsia="仿宋_GB2312" w:cs="Times New Roman"/>
          <w:b w:val="0"/>
          <w:bCs w:val="0"/>
          <w:color w:val="auto"/>
          <w:sz w:val="32"/>
          <w:szCs w:val="32"/>
        </w:rPr>
        <w:t>。</w:t>
      </w:r>
    </w:p>
    <w:p w14:paraId="10B24C46">
      <w:pPr>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履职成效</w:t>
      </w:r>
    </w:p>
    <w:p w14:paraId="499DEF6C">
      <w:pPr>
        <w:pStyle w:val="2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 w:hAnsi="楷体" w:eastAsia="楷体" w:cs="楷体"/>
          <w:color w:val="auto"/>
          <w:sz w:val="32"/>
          <w:szCs w:val="32"/>
          <w:lang w:val="en-US" w:eastAsia="zh-CN"/>
        </w:rPr>
        <w:t>1.深耕行知思想。</w:t>
      </w:r>
      <w:r>
        <w:rPr>
          <w:rFonts w:hint="eastAsia" w:ascii="仿宋_GB2312" w:hAnsi="仿宋_GB2312" w:cs="仿宋_GB2312"/>
          <w:color w:val="auto"/>
          <w:sz w:val="32"/>
          <w:szCs w:val="32"/>
          <w:lang w:val="en-US" w:eastAsia="zh-CN"/>
        </w:rPr>
        <w:t>成功举办陶行知教育思想幼教联盟区域盟主第一次会议，推选出15家盟主园，</w:t>
      </w:r>
      <w:r>
        <w:rPr>
          <w:rFonts w:hint="eastAsia" w:ascii="仿宋_GB2312" w:hAnsi="仿宋_GB2312" w:eastAsia="仿宋_GB2312" w:cs="仿宋_GB2312"/>
          <w:color w:val="auto"/>
          <w:sz w:val="32"/>
          <w:szCs w:val="32"/>
          <w:lang w:val="en-US" w:eastAsia="zh-CN"/>
        </w:rPr>
        <w:t>组织南京部分联盟园赴淮安开展</w:t>
      </w:r>
      <w:r>
        <w:rPr>
          <w:rFonts w:hint="eastAsia" w:ascii="仿宋_GB2312" w:hAnsi="仿宋_GB2312" w:cs="仿宋_GB2312"/>
          <w:color w:val="auto"/>
          <w:sz w:val="32"/>
          <w:szCs w:val="32"/>
          <w:lang w:val="en-US" w:eastAsia="zh-CN"/>
        </w:rPr>
        <w:t>区域联盟</w:t>
      </w:r>
      <w:r>
        <w:rPr>
          <w:rFonts w:hint="eastAsia" w:ascii="仿宋_GB2312" w:hAnsi="仿宋_GB2312" w:eastAsia="仿宋_GB2312" w:cs="仿宋_GB2312"/>
          <w:color w:val="auto"/>
          <w:sz w:val="32"/>
          <w:szCs w:val="32"/>
          <w:lang w:val="en-US" w:eastAsia="zh-CN"/>
        </w:rPr>
        <w:t>交流活动</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发行</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期联盟工作动态简报。</w:t>
      </w:r>
      <w:r>
        <w:rPr>
          <w:rFonts w:hint="eastAsia" w:ascii="仿宋_GB2312" w:hAnsi="仿宋_GB2312" w:cs="仿宋_GB2312"/>
          <w:color w:val="auto"/>
          <w:sz w:val="32"/>
          <w:szCs w:val="32"/>
          <w:lang w:val="en-US" w:eastAsia="zh-CN"/>
        </w:rPr>
        <w:t>与百年名园鼓楼幼儿园结盟共建，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构筑集研究、实践与创新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辐射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为一体的交流成长平台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412F988B">
      <w:pPr>
        <w:pStyle w:val="2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楷体" w:hAnsi="楷体" w:eastAsia="楷体" w:cs="楷体"/>
          <w:color w:val="000000" w:themeColor="text1"/>
          <w:sz w:val="32"/>
          <w:szCs w:val="32"/>
          <w:lang w:val="en-US" w:eastAsia="zh-CN"/>
          <w14:textFill>
            <w14:solidFill>
              <w14:schemeClr w14:val="tx1"/>
            </w14:solidFill>
          </w14:textFill>
        </w:rPr>
        <w:t>深化辐射效应。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儿童原创绘本《小猪哼哼的故事》</w:t>
      </w:r>
      <w:r>
        <w:rPr>
          <w:rFonts w:hint="eastAsia" w:ascii="仿宋_GB2312" w:hAnsi="仿宋_GB2312" w:cs="仿宋_GB2312"/>
          <w:color w:val="000000" w:themeColor="text1"/>
          <w:sz w:val="32"/>
          <w:szCs w:val="32"/>
          <w:lang w:val="en-US" w:eastAsia="zh-CN"/>
          <w14:textFill>
            <w14:solidFill>
              <w14:schemeClr w14:val="tx1"/>
            </w14:solidFill>
          </w14:textFill>
        </w:rPr>
        <w:t>已出版发行，被遴选在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市课程游戏化成果展示</w:t>
      </w:r>
      <w:r>
        <w:rPr>
          <w:rFonts w:hint="eastAsia" w:ascii="仿宋_GB2312" w:hAnsi="仿宋_GB2312" w:cs="仿宋_GB2312"/>
          <w:color w:val="000000" w:themeColor="text1"/>
          <w:sz w:val="32"/>
          <w:szCs w:val="32"/>
          <w:lang w:val="en-US" w:eastAsia="zh-CN"/>
          <w14:textFill>
            <w14:solidFill>
              <w14:schemeClr w14:val="tx1"/>
            </w14:solidFill>
          </w14:textFill>
        </w:rPr>
        <w:t>会上展出。有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3个省级以上规划课题</w:t>
      </w:r>
      <w:r>
        <w:rPr>
          <w:rFonts w:hint="eastAsia" w:ascii="仿宋_GB2312" w:hAnsi="仿宋_GB2312" w:cs="仿宋_GB2312"/>
          <w:color w:val="000000" w:themeColor="text1"/>
          <w:sz w:val="32"/>
          <w:szCs w:val="32"/>
          <w:lang w:val="en-US" w:eastAsia="zh-CN"/>
          <w14:textFill>
            <w14:solidFill>
              <w14:schemeClr w14:val="tx1"/>
            </w14:solidFill>
          </w14:textFill>
        </w:rPr>
        <w:t>，分别被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中国陶行知研究会生活·实践教育专委会</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江苏省陶行知研究会</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江苏省陈鹤琴教育思想研究会</w:t>
      </w:r>
      <w:r>
        <w:rPr>
          <w:rFonts w:hint="eastAsia" w:ascii="仿宋_GB2312" w:hAnsi="仿宋_GB2312" w:cs="仿宋_GB2312"/>
          <w:color w:val="000000" w:themeColor="text1"/>
          <w:sz w:val="32"/>
          <w:szCs w:val="32"/>
          <w:lang w:val="en-US" w:eastAsia="zh-CN"/>
          <w14:textFill>
            <w14:solidFill>
              <w14:schemeClr w14:val="tx1"/>
            </w14:solidFill>
          </w14:textFill>
        </w:rPr>
        <w:t>正式立</w:t>
      </w:r>
      <w:r>
        <w:rPr>
          <w:rFonts w:hint="eastAsia" w:ascii="仿宋_GB2312" w:hAnsi="仿宋_GB2312" w:cs="仿宋_GB2312"/>
          <w:color w:val="auto"/>
          <w:sz w:val="32"/>
          <w:szCs w:val="32"/>
          <w:lang w:val="en-US" w:eastAsia="zh-CN"/>
        </w:rPr>
        <w:t>项</w:t>
      </w:r>
      <w:r>
        <w:rPr>
          <w:rFonts w:hint="eastAsia" w:ascii="仿宋_GB2312" w:hAnsi="仿宋_GB2312" w:eastAsia="仿宋_GB2312" w:cs="仿宋_GB2312"/>
          <w:color w:val="auto"/>
          <w:sz w:val="32"/>
          <w:szCs w:val="32"/>
          <w:lang w:val="en-US" w:eastAsia="zh-CN"/>
        </w:rPr>
        <w:t>。接受</w:t>
      </w:r>
      <w:r>
        <w:rPr>
          <w:rFonts w:hint="eastAsia" w:ascii="仿宋_GB2312" w:hAnsi="仿宋_GB2312" w:cs="仿宋_GB2312"/>
          <w:color w:val="auto"/>
          <w:sz w:val="32"/>
          <w:szCs w:val="32"/>
          <w:lang w:val="en-US" w:eastAsia="zh-CN"/>
        </w:rPr>
        <w:t>江苏</w:t>
      </w:r>
      <w:r>
        <w:rPr>
          <w:rFonts w:hint="eastAsia" w:ascii="仿宋_GB2312" w:hAnsi="仿宋_GB2312" w:eastAsia="仿宋_GB2312" w:cs="仿宋_GB2312"/>
          <w:color w:val="auto"/>
          <w:sz w:val="32"/>
          <w:szCs w:val="32"/>
          <w:lang w:val="en-US" w:eastAsia="zh-CN"/>
        </w:rPr>
        <w:t>省幼儿园课程游戏化项目视导，</w:t>
      </w:r>
      <w:r>
        <w:rPr>
          <w:rFonts w:hint="eastAsia" w:ascii="仿宋_GB2312" w:hAnsi="仿宋_GB2312" w:cs="仿宋_GB2312"/>
          <w:color w:val="auto"/>
          <w:sz w:val="32"/>
          <w:szCs w:val="32"/>
          <w:lang w:val="en-US" w:eastAsia="zh-CN"/>
        </w:rPr>
        <w:t>获得专家组的一致好评</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b w:val="0"/>
          <w:bCs w:val="0"/>
          <w:strike w:val="0"/>
          <w:dstrike w:val="0"/>
          <w:color w:val="auto"/>
          <w:sz w:val="32"/>
          <w:szCs w:val="32"/>
          <w:lang w:val="en-US" w:eastAsia="zh-CN"/>
        </w:rPr>
        <w:t>受各地区教育行政部门邀请</w:t>
      </w:r>
      <w:r>
        <w:rPr>
          <w:rFonts w:hint="eastAsia" w:ascii="仿宋_GB2312" w:hAnsi="仿宋_GB2312" w:eastAsia="仿宋_GB2312" w:cs="仿宋_GB2312"/>
          <w:color w:val="auto"/>
          <w:sz w:val="32"/>
          <w:szCs w:val="32"/>
          <w:lang w:val="en-US" w:eastAsia="zh-CN"/>
        </w:rPr>
        <w:t>前往</w:t>
      </w:r>
      <w:r>
        <w:rPr>
          <w:rFonts w:hint="eastAsia" w:ascii="仿宋_GB2312" w:hAnsi="仿宋_GB2312" w:cs="仿宋_GB2312"/>
          <w:color w:val="auto"/>
          <w:sz w:val="32"/>
          <w:szCs w:val="32"/>
          <w:lang w:val="en-US" w:eastAsia="zh-CN"/>
        </w:rPr>
        <w:t>省内外</w:t>
      </w:r>
      <w:r>
        <w:rPr>
          <w:rFonts w:hint="eastAsia" w:ascii="仿宋_GB2312" w:hAnsi="仿宋_GB2312" w:eastAsia="仿宋_GB2312" w:cs="仿宋_GB2312"/>
          <w:color w:val="auto"/>
          <w:sz w:val="32"/>
          <w:szCs w:val="32"/>
          <w:lang w:val="en-US" w:eastAsia="zh-CN"/>
        </w:rPr>
        <w:t>开展</w:t>
      </w:r>
      <w:r>
        <w:rPr>
          <w:rFonts w:hint="eastAsia" w:ascii="仿宋_GB2312" w:hAnsi="仿宋_GB2312" w:cs="仿宋_GB2312"/>
          <w:color w:val="auto"/>
          <w:sz w:val="32"/>
          <w:szCs w:val="32"/>
          <w:lang w:val="en-US" w:eastAsia="zh-CN"/>
        </w:rPr>
        <w:t>成果分享</w:t>
      </w:r>
      <w:r>
        <w:rPr>
          <w:rFonts w:hint="eastAsia" w:ascii="仿宋_GB2312" w:hAnsi="仿宋_GB2312" w:eastAsia="仿宋_GB2312" w:cs="仿宋_GB2312"/>
          <w:color w:val="auto"/>
          <w:sz w:val="32"/>
          <w:szCs w:val="32"/>
          <w:lang w:val="en-US" w:eastAsia="zh-CN"/>
        </w:rPr>
        <w:t>讲座</w:t>
      </w:r>
      <w:r>
        <w:rPr>
          <w:rFonts w:hint="eastAsia" w:ascii="仿宋_GB2312" w:hAnsi="仿宋_GB2312" w:cs="仿宋_GB2312"/>
          <w:color w:val="auto"/>
          <w:sz w:val="32"/>
          <w:szCs w:val="32"/>
          <w:lang w:val="en-US" w:eastAsia="zh-CN"/>
        </w:rPr>
        <w:t>7次；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接待来自</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全国各地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政府部门、教育行业</w:t>
      </w:r>
      <w:r>
        <w:rPr>
          <w:rFonts w:hint="eastAsia" w:ascii="仿宋_GB2312" w:hAnsi="仿宋_GB2312" w:cs="仿宋_GB2312"/>
          <w:color w:val="000000" w:themeColor="text1"/>
          <w:kern w:val="0"/>
          <w:sz w:val="32"/>
          <w:szCs w:val="32"/>
          <w:lang w:val="en-US" w:eastAsia="zh-CN" w:bidi="ar"/>
          <w14:textFill>
            <w14:solidFill>
              <w14:schemeClr w14:val="tx1"/>
            </w14:solidFill>
          </w14:textFill>
        </w:rPr>
        <w:t>19批次800余人来园参观交流和考察调研，晓小禾托育中心接待45批次、1300余人参观交流和考察调研；</w:t>
      </w:r>
      <w:r>
        <w:rPr>
          <w:rFonts w:hint="eastAsia" w:ascii="仿宋_GB2312" w:hAnsi="仿宋_GB2312" w:eastAsia="仿宋_GB2312" w:cs="仿宋_GB2312"/>
          <w:color w:val="auto"/>
          <w:sz w:val="32"/>
          <w:szCs w:val="32"/>
          <w:lang w:val="en-US" w:eastAsia="zh-CN"/>
        </w:rPr>
        <w:t>接受新疆、重庆地区</w:t>
      </w:r>
      <w:r>
        <w:rPr>
          <w:rFonts w:hint="eastAsia" w:ascii="仿宋_GB2312" w:hAnsi="仿宋_GB2312" w:cs="仿宋_GB2312"/>
          <w:color w:val="auto"/>
          <w:sz w:val="32"/>
          <w:szCs w:val="32"/>
          <w:lang w:val="en-US" w:eastAsia="zh-CN"/>
        </w:rPr>
        <w:t>联盟</w:t>
      </w:r>
      <w:r>
        <w:rPr>
          <w:rFonts w:hint="eastAsia" w:ascii="仿宋_GB2312" w:hAnsi="仿宋_GB2312" w:eastAsia="仿宋_GB2312" w:cs="仿宋_GB2312"/>
          <w:color w:val="auto"/>
          <w:sz w:val="32"/>
          <w:szCs w:val="32"/>
          <w:lang w:val="en-US" w:eastAsia="zh-CN"/>
        </w:rPr>
        <w:t>园来园跟岗学习、交流共研，</w:t>
      </w:r>
      <w:r>
        <w:rPr>
          <w:rFonts w:hint="eastAsia" w:ascii="仿宋_GB2312" w:hAnsi="仿宋_GB2312" w:cs="仿宋_GB2312"/>
          <w:color w:val="auto"/>
          <w:sz w:val="32"/>
          <w:szCs w:val="32"/>
          <w:lang w:val="en-US" w:eastAsia="zh-CN"/>
        </w:rPr>
        <w:t>发挥辐射引领作用</w:t>
      </w:r>
      <w:r>
        <w:rPr>
          <w:rFonts w:hint="eastAsia" w:ascii="仿宋_GB2312" w:hAnsi="仿宋_GB2312" w:eastAsia="仿宋_GB2312" w:cs="仿宋_GB2312"/>
          <w:color w:val="auto"/>
          <w:sz w:val="32"/>
          <w:szCs w:val="32"/>
          <w:lang w:val="en-US" w:eastAsia="zh-CN"/>
        </w:rPr>
        <w:t>。</w:t>
      </w:r>
    </w:p>
    <w:p w14:paraId="3D4A1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楷体" w:hAnsi="楷体" w:eastAsia="楷体" w:cs="楷体"/>
          <w:color w:val="000000" w:themeColor="text1"/>
          <w:sz w:val="32"/>
          <w:szCs w:val="32"/>
          <w:lang w:val="en-US" w:eastAsia="zh-CN"/>
          <w14:textFill>
            <w14:solidFill>
              <w14:schemeClr w14:val="tx1"/>
            </w14:solidFill>
          </w14:textFill>
        </w:rPr>
        <w:t>深塑托幼品牌。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晓小禾托育</w:t>
      </w:r>
      <w:r>
        <w:rPr>
          <w:rFonts w:hint="eastAsia" w:ascii="仿宋_GB2312" w:hAnsi="仿宋_GB2312" w:eastAsia="仿宋_GB2312" w:cs="仿宋_GB2312"/>
          <w:color w:val="auto"/>
          <w:sz w:val="32"/>
          <w:szCs w:val="32"/>
          <w:lang w:val="en-US" w:eastAsia="zh-CN"/>
        </w:rPr>
        <w:t>中心一期室内环境改造完成，办园规模扩大至7个班，共招收婴幼儿99名。晓小禾托育亲子成长营积极探索“医育融合”新模式，</w:t>
      </w:r>
      <w:r>
        <w:rPr>
          <w:rFonts w:hint="eastAsia" w:ascii="仿宋_GB2312" w:hAnsi="仿宋_GB2312" w:eastAsia="仿宋_GB2312" w:cs="仿宋_GB2312"/>
          <w:color w:val="auto"/>
          <w:kern w:val="2"/>
          <w:sz w:val="32"/>
          <w:szCs w:val="32"/>
          <w:lang w:val="en-US" w:eastAsia="zh-CN" w:bidi="ar-SA"/>
        </w:rPr>
        <w:t>全年面向机关干部职工、周边社区居民和托育机构工作者</w:t>
      </w:r>
      <w:r>
        <w:rPr>
          <w:rFonts w:hint="eastAsia" w:ascii="仿宋_GB2312" w:hAnsi="仿宋_GB2312" w:eastAsia="仿宋_GB2312" w:cs="仿宋_GB2312"/>
          <w:color w:val="auto"/>
          <w:sz w:val="32"/>
          <w:szCs w:val="32"/>
          <w:lang w:val="en-US" w:eastAsia="zh-CN"/>
        </w:rPr>
        <w:t>开展公益亲子活动、家长学校共24场，</w:t>
      </w:r>
      <w:r>
        <w:rPr>
          <w:rFonts w:hint="eastAsia" w:ascii="仿宋_GB2312" w:hAnsi="仿宋_GB2312" w:eastAsia="仿宋_GB2312" w:cs="仿宋_GB2312"/>
          <w:color w:val="auto"/>
          <w:kern w:val="2"/>
          <w:sz w:val="32"/>
          <w:szCs w:val="32"/>
          <w:lang w:val="en-US" w:eastAsia="zh-CN" w:bidi="ar-SA"/>
        </w:rPr>
        <w:t>发挥公办托育品牌示范引领作用</w:t>
      </w:r>
      <w:r>
        <w:rPr>
          <w:rFonts w:hint="eastAsia" w:ascii="仿宋_GB2312" w:hAnsi="仿宋_GB2312" w:eastAsia="仿宋_GB2312" w:cs="仿宋_GB2312"/>
          <w:color w:val="auto"/>
          <w:sz w:val="32"/>
          <w:szCs w:val="32"/>
          <w:lang w:val="en-US" w:eastAsia="zh-CN"/>
        </w:rPr>
        <w:t>。改造园内锄禾园、沙水玩泥区，创设挖水渠、堆沙堡、跳泥坑等丰富的户外游戏活动。开展了欢乐亲子游戏节、亲子运动会，举办了3场主题课程艺术展以及</w:t>
      </w:r>
      <w:r>
        <w:rPr>
          <w:rFonts w:hint="eastAsia" w:ascii="仿宋_GB2312" w:hAnsi="仿宋_GB2312" w:eastAsia="仿宋_GB2312" w:cs="仿宋_GB2312"/>
          <w:color w:val="auto"/>
          <w:kern w:val="2"/>
          <w:sz w:val="32"/>
          <w:szCs w:val="32"/>
          <w:lang w:val="en-US" w:eastAsia="zh-CN" w:bidi="ar-SA"/>
        </w:rPr>
        <w:t>课程游戏观摩评比，促进幼儿身心全面发展。</w:t>
      </w:r>
    </w:p>
    <w:p w14:paraId="282E1C31">
      <w:pPr>
        <w:pStyle w:val="2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4.</w:t>
      </w:r>
      <w:r>
        <w:rPr>
          <w:rFonts w:hint="eastAsia" w:ascii="楷体" w:hAnsi="楷体" w:eastAsia="楷体" w:cs="楷体"/>
          <w:color w:val="auto"/>
          <w:sz w:val="32"/>
          <w:szCs w:val="32"/>
          <w:lang w:val="en-US" w:eastAsia="zh-CN"/>
        </w:rPr>
        <w:t>深推师资培养。</w:t>
      </w:r>
      <w:r>
        <w:rPr>
          <w:rFonts w:hint="eastAsia" w:ascii="仿宋_GB2312" w:hAnsi="仿宋_GB2312" w:cs="仿宋_GB2312"/>
          <w:color w:val="auto"/>
          <w:sz w:val="32"/>
          <w:szCs w:val="32"/>
          <w:lang w:val="en-US" w:eastAsia="zh-CN"/>
        </w:rPr>
        <w:t>先后派出</w:t>
      </w:r>
      <w:r>
        <w:rPr>
          <w:rFonts w:hint="eastAsia" w:ascii="仿宋_GB2312" w:hAnsi="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0</w:t>
      </w:r>
      <w:r>
        <w:rPr>
          <w:rFonts w:hint="eastAsia" w:ascii="仿宋_GB2312" w:hAnsi="仿宋_GB2312" w:cs="仿宋_GB2312"/>
          <w:color w:val="auto"/>
          <w:kern w:val="2"/>
          <w:sz w:val="32"/>
          <w:szCs w:val="32"/>
          <w:lang w:val="en-US" w:eastAsia="zh-CN" w:bidi="ar-SA"/>
        </w:rPr>
        <w:t>余名</w:t>
      </w:r>
      <w:r>
        <w:rPr>
          <w:rFonts w:hint="eastAsia" w:ascii="仿宋_GB2312" w:hAnsi="仿宋_GB2312" w:eastAsia="仿宋_GB2312" w:cs="仿宋_GB2312"/>
          <w:color w:val="auto"/>
          <w:sz w:val="32"/>
          <w:szCs w:val="32"/>
          <w:lang w:val="en-US" w:eastAsia="zh-CN"/>
        </w:rPr>
        <w:t>教师前往上海、杭州、重庆等地区参加交流研讨会</w:t>
      </w:r>
      <w:r>
        <w:rPr>
          <w:rFonts w:hint="eastAsia" w:ascii="仿宋_GB2312" w:hAnsi="仿宋_GB2312" w:cs="仿宋_GB2312"/>
          <w:color w:val="auto"/>
          <w:sz w:val="32"/>
          <w:szCs w:val="32"/>
          <w:lang w:val="en-US" w:eastAsia="zh-CN"/>
        </w:rPr>
        <w:t>与</w:t>
      </w:r>
      <w:r>
        <w:rPr>
          <w:rFonts w:hint="eastAsia" w:ascii="仿宋_GB2312" w:hAnsi="仿宋_GB2312" w:eastAsia="仿宋_GB2312" w:cs="仿宋_GB2312"/>
          <w:color w:val="auto"/>
          <w:sz w:val="32"/>
          <w:szCs w:val="32"/>
          <w:lang w:val="en-US" w:eastAsia="zh-CN"/>
        </w:rPr>
        <w:t>培训班。</w:t>
      </w:r>
      <w:r>
        <w:rPr>
          <w:rFonts w:hint="eastAsia" w:ascii="仿宋_GB2312" w:hAnsi="仿宋_GB2312" w:eastAsia="仿宋_GB2312" w:cs="仿宋_GB2312"/>
          <w:color w:val="auto"/>
          <w:kern w:val="2"/>
          <w:sz w:val="32"/>
          <w:szCs w:val="32"/>
          <w:lang w:val="en-US" w:eastAsia="zh-CN" w:bidi="ar-SA"/>
        </w:rPr>
        <w:t>联合市教科所开展送教共研活动，</w:t>
      </w:r>
      <w:r>
        <w:rPr>
          <w:rFonts w:hint="eastAsia" w:ascii="仿宋_GB2312" w:hAnsi="仿宋_GB2312" w:cs="仿宋_GB2312"/>
          <w:color w:val="auto"/>
          <w:sz w:val="32"/>
          <w:szCs w:val="32"/>
          <w:lang w:val="en-US" w:eastAsia="zh-CN"/>
        </w:rPr>
        <w:t>与鼓楼幼儿园进行师徒结对，组织中层骨干赴</w:t>
      </w:r>
      <w:r>
        <w:rPr>
          <w:rFonts w:hint="eastAsia" w:ascii="仿宋_GB2312" w:hAnsi="仿宋_GB2312" w:eastAsia="仿宋_GB2312" w:cs="仿宋_GB2312"/>
          <w:color w:val="auto"/>
          <w:sz w:val="32"/>
          <w:szCs w:val="32"/>
          <w:lang w:val="en-US" w:eastAsia="zh-CN"/>
        </w:rPr>
        <w:t>扬州开展中层干部培训，</w:t>
      </w:r>
      <w:r>
        <w:rPr>
          <w:rFonts w:hint="eastAsia" w:ascii="仿宋_GB2312" w:hAnsi="仿宋_GB2312" w:cs="仿宋_GB2312"/>
          <w:color w:val="auto"/>
          <w:sz w:val="32"/>
          <w:szCs w:val="32"/>
          <w:lang w:val="en-US" w:eastAsia="zh-CN"/>
        </w:rPr>
        <w:t>全面</w:t>
      </w:r>
      <w:r>
        <w:rPr>
          <w:rFonts w:hint="eastAsia" w:ascii="仿宋_GB2312" w:hAnsi="仿宋_GB2312" w:eastAsia="仿宋_GB2312" w:cs="仿宋_GB2312"/>
          <w:color w:val="auto"/>
          <w:sz w:val="32"/>
          <w:szCs w:val="32"/>
          <w:lang w:val="en-US" w:eastAsia="zh-CN"/>
        </w:rPr>
        <w:t>提升</w:t>
      </w:r>
      <w:r>
        <w:rPr>
          <w:rFonts w:hint="eastAsia" w:ascii="仿宋_GB2312" w:hAnsi="仿宋_GB2312" w:cs="仿宋_GB2312"/>
          <w:color w:val="auto"/>
          <w:sz w:val="32"/>
          <w:szCs w:val="32"/>
          <w:lang w:val="en-US" w:eastAsia="zh-CN"/>
        </w:rPr>
        <w:t>师资素养</w:t>
      </w:r>
      <w:r>
        <w:rPr>
          <w:rFonts w:hint="eastAsia" w:ascii="仿宋_GB2312" w:hAnsi="仿宋_GB2312" w:eastAsia="仿宋_GB2312" w:cs="仿宋_GB2312"/>
          <w:color w:val="auto"/>
          <w:sz w:val="32"/>
          <w:szCs w:val="32"/>
          <w:lang w:val="en-US" w:eastAsia="zh-CN"/>
        </w:rPr>
        <w:t>。全年教师论文</w:t>
      </w:r>
      <w:r>
        <w:rPr>
          <w:rFonts w:hint="eastAsia" w:ascii="仿宋_GB2312" w:hAnsi="仿宋_GB2312" w:cs="仿宋_GB2312"/>
          <w:color w:val="auto"/>
          <w:sz w:val="32"/>
          <w:szCs w:val="32"/>
          <w:lang w:val="en-US" w:eastAsia="zh-CN"/>
        </w:rPr>
        <w:t>发表、获奖共70余</w:t>
      </w:r>
      <w:r>
        <w:rPr>
          <w:rFonts w:hint="eastAsia" w:ascii="仿宋_GB2312" w:hAnsi="仿宋_GB2312" w:eastAsia="仿宋_GB2312" w:cs="仿宋_GB2312"/>
          <w:color w:val="auto"/>
          <w:sz w:val="32"/>
          <w:szCs w:val="32"/>
          <w:lang w:val="en-US" w:eastAsia="zh-CN"/>
        </w:rPr>
        <w:t>篇</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1名教师获区学科带头人称号，</w:t>
      </w:r>
      <w:r>
        <w:rPr>
          <w:rFonts w:hint="eastAsia" w:ascii="仿宋_GB2312" w:hAnsi="仿宋_GB2312" w:cs="仿宋_GB2312"/>
          <w:color w:val="auto"/>
          <w:sz w:val="32"/>
          <w:szCs w:val="32"/>
          <w:lang w:val="en-US" w:eastAsia="zh-CN"/>
        </w:rPr>
        <w:t>3名教师获区“师德先进个人”称号</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2名教师在市区级技能大赛</w:t>
      </w:r>
      <w:r>
        <w:rPr>
          <w:rFonts w:hint="eastAsia" w:ascii="仿宋_GB2312" w:hAnsi="仿宋_GB2312" w:cs="仿宋_GB2312"/>
          <w:color w:val="auto"/>
          <w:kern w:val="2"/>
          <w:sz w:val="32"/>
          <w:szCs w:val="32"/>
          <w:lang w:val="en-US" w:eastAsia="zh-CN" w:bidi="ar-SA"/>
        </w:rPr>
        <w:t>中</w:t>
      </w:r>
      <w:r>
        <w:rPr>
          <w:rFonts w:hint="eastAsia" w:ascii="仿宋_GB2312" w:hAnsi="仿宋_GB2312" w:eastAsia="仿宋_GB2312" w:cs="仿宋_GB2312"/>
          <w:color w:val="auto"/>
          <w:kern w:val="2"/>
          <w:sz w:val="32"/>
          <w:szCs w:val="32"/>
          <w:lang w:val="en-US" w:eastAsia="zh-CN" w:bidi="ar-SA"/>
        </w:rPr>
        <w:t>获奖。</w:t>
      </w:r>
    </w:p>
    <w:p w14:paraId="418D9E9B">
      <w:pPr>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黑体" w:cs="Times New Roman"/>
          <w:b w:val="0"/>
          <w:bCs w:val="0"/>
          <w:color w:val="auto"/>
          <w:kern w:val="0"/>
          <w:sz w:val="32"/>
          <w:szCs w:val="32"/>
        </w:rPr>
        <w:t>存在问题及原因分析</w:t>
      </w:r>
    </w:p>
    <w:p w14:paraId="3284C50D">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由于教育教学的特殊性，部分项目需要在假期开展，导致执行周期延后，付款较迟，项目预算执行进度低于序时进度。</w:t>
      </w:r>
    </w:p>
    <w:p w14:paraId="283D0B55">
      <w:pPr>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有关建议</w:t>
      </w:r>
    </w:p>
    <w:p w14:paraId="1B3F82EC">
      <w:pPr>
        <w:pStyle w:val="4"/>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kern w:val="2"/>
          <w:sz w:val="32"/>
          <w:szCs w:val="32"/>
          <w:lang w:val="en-US" w:eastAsia="zh-CN" w:bidi="ar-SA"/>
        </w:rPr>
      </w:pPr>
      <w:r>
        <w:rPr>
          <w:rFonts w:ascii="Times New Roman" w:hAnsi="Times New Roman" w:eastAsia="仿宋_GB2312" w:cs="Times New Roman"/>
          <w:b w:val="0"/>
          <w:bCs w:val="0"/>
          <w:color w:val="auto"/>
          <w:kern w:val="2"/>
          <w:sz w:val="32"/>
          <w:szCs w:val="32"/>
          <w:lang w:val="en-US" w:eastAsia="zh-CN" w:bidi="ar-SA"/>
        </w:rPr>
        <w:t>在</w:t>
      </w:r>
      <w:r>
        <w:rPr>
          <w:rFonts w:hint="eastAsia" w:ascii="Times New Roman" w:hAnsi="Times New Roman" w:eastAsia="仿宋_GB2312" w:cs="Times New Roman"/>
          <w:b w:val="0"/>
          <w:bCs w:val="0"/>
          <w:color w:val="auto"/>
          <w:kern w:val="2"/>
          <w:sz w:val="32"/>
          <w:szCs w:val="32"/>
          <w:lang w:val="en-US" w:eastAsia="zh-CN" w:bidi="ar-SA"/>
        </w:rPr>
        <w:t>落实“</w:t>
      </w:r>
      <w:r>
        <w:rPr>
          <w:rFonts w:ascii="Times New Roman" w:hAnsi="Times New Roman" w:eastAsia="仿宋_GB2312" w:cs="Times New Roman"/>
          <w:b w:val="0"/>
          <w:bCs w:val="0"/>
          <w:color w:val="auto"/>
          <w:kern w:val="2"/>
          <w:sz w:val="32"/>
          <w:szCs w:val="32"/>
          <w:lang w:val="en-US" w:eastAsia="zh-CN" w:bidi="ar-SA"/>
        </w:rPr>
        <w:t>过紧日子</w:t>
      </w:r>
      <w:r>
        <w:rPr>
          <w:rFonts w:hint="eastAsia" w:ascii="Times New Roman" w:hAnsi="Times New Roman" w:eastAsia="仿宋_GB2312" w:cs="Times New Roman"/>
          <w:b w:val="0"/>
          <w:bCs w:val="0"/>
          <w:color w:val="auto"/>
          <w:kern w:val="2"/>
          <w:sz w:val="32"/>
          <w:szCs w:val="32"/>
          <w:lang w:val="en-US" w:eastAsia="zh-CN" w:bidi="ar-SA"/>
        </w:rPr>
        <w:t>”</w:t>
      </w:r>
      <w:r>
        <w:rPr>
          <w:rFonts w:ascii="Times New Roman" w:hAnsi="Times New Roman" w:eastAsia="仿宋_GB2312" w:cs="Times New Roman"/>
          <w:b w:val="0"/>
          <w:bCs w:val="0"/>
          <w:color w:val="auto"/>
          <w:kern w:val="2"/>
          <w:sz w:val="32"/>
          <w:szCs w:val="32"/>
          <w:lang w:val="en-US" w:eastAsia="zh-CN" w:bidi="ar-SA"/>
        </w:rPr>
        <w:t>的总体要求下，督促各部门</w:t>
      </w:r>
      <w:r>
        <w:rPr>
          <w:rFonts w:hint="eastAsia" w:ascii="Times New Roman" w:hAnsi="Times New Roman" w:eastAsia="仿宋_GB2312" w:cs="Times New Roman"/>
          <w:b w:val="0"/>
          <w:bCs w:val="0"/>
          <w:color w:val="auto"/>
          <w:kern w:val="2"/>
          <w:sz w:val="32"/>
          <w:szCs w:val="32"/>
          <w:lang w:val="en-US" w:eastAsia="zh-CN" w:bidi="ar-SA"/>
        </w:rPr>
        <w:t>加强对项目进度开展的日常管理，</w:t>
      </w:r>
      <w:r>
        <w:rPr>
          <w:rFonts w:ascii="Times New Roman" w:hAnsi="Times New Roman" w:eastAsia="仿宋_GB2312" w:cs="Times New Roman"/>
          <w:b w:val="0"/>
          <w:bCs w:val="0"/>
          <w:color w:val="auto"/>
          <w:kern w:val="2"/>
          <w:sz w:val="32"/>
          <w:szCs w:val="32"/>
          <w:lang w:val="en-US" w:eastAsia="zh-CN" w:bidi="ar-SA"/>
        </w:rPr>
        <w:t>科学合理编制预算，严格执行预算</w:t>
      </w:r>
      <w:r>
        <w:rPr>
          <w:rFonts w:hint="eastAsia" w:ascii="Times New Roman" w:hAnsi="Times New Roman" w:eastAsia="仿宋_GB2312" w:cs="Times New Roman"/>
          <w:b w:val="0"/>
          <w:bCs w:val="0"/>
          <w:color w:val="auto"/>
          <w:kern w:val="2"/>
          <w:sz w:val="32"/>
          <w:szCs w:val="32"/>
          <w:lang w:val="en-US" w:eastAsia="zh-CN" w:bidi="ar-SA"/>
        </w:rPr>
        <w:t>，提高资金使用效率。</w:t>
      </w:r>
    </w:p>
    <w:p w14:paraId="0CE18778">
      <w:pPr>
        <w:pStyle w:val="4"/>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 w:val="0"/>
          <w:bCs w:val="0"/>
          <w:color w:val="auto"/>
          <w:kern w:val="0"/>
          <w:sz w:val="32"/>
          <w:szCs w:val="32"/>
        </w:rPr>
      </w:pPr>
      <w:r>
        <w:rPr>
          <w:rFonts w:ascii="Times New Roman" w:hAnsi="Times New Roman" w:eastAsia="黑体" w:cs="Times New Roman"/>
          <w:b w:val="0"/>
          <w:bCs w:val="0"/>
          <w:color w:val="auto"/>
          <w:kern w:val="0"/>
          <w:sz w:val="32"/>
          <w:szCs w:val="32"/>
        </w:rPr>
        <w:t>六、</w:t>
      </w:r>
      <w:r>
        <w:rPr>
          <w:rFonts w:ascii="Times New Roman" w:hAnsi="Times New Roman" w:eastAsia="黑体" w:cs="Times New Roman"/>
          <w:b w:val="0"/>
          <w:bCs w:val="0"/>
          <w:color w:val="auto"/>
          <w:sz w:val="32"/>
          <w:szCs w:val="32"/>
        </w:rPr>
        <w:t>评价工作开展情况及其他需说明的情况</w:t>
      </w:r>
    </w:p>
    <w:p w14:paraId="5B5A238A">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（一）基本情况 </w:t>
      </w:r>
    </w:p>
    <w:p w14:paraId="029421C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1.评价目的 </w:t>
      </w:r>
    </w:p>
    <w:p w14:paraId="26F2F2E1">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开展部门整体绩效评价是全面贯彻落实《中共江苏省委 江 苏省人民政府关于全面实施预算绩效管理的实施意见》的重要举措。根据《2025年南京市市级预算部门（单位）预算绩效管理责任清单》（宁财绩〔2025〕106号）要求，开展部门整体绩效评价的目的是“促进部门从整体提升预算绩效管理工作水平及使用效益，保障部门更好地履行职责”，具体包括： </w:t>
      </w:r>
    </w:p>
    <w:p w14:paraId="6014646D">
      <w:pPr>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通过对部门整体绩效评价，可以发现部门管理的薄弱 环节，促进其改进和创新管理方式，提高管理效能和管理质量。 同时，发现部门在提供公共服务方面存在的短板和不足，为有效提高财政资金配置水平和提升政府公共服务质量做出积极探索。 </w:t>
      </w:r>
    </w:p>
    <w:p w14:paraId="579FA8B2">
      <w:pPr>
        <w:pageBreakBefore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部门整体绩效评价更加关注部门财政资金的预算安排的合理性和整体效益，例如，资金结构与部门职能的匹配程度、预算规模对部门绩效目标实现的保障水平、资金的支出与部门所提供的公共服务的支持程度等。因此，部门整体绩效评价的覆盖面更广、层次更深，更能综合反映部门财政资金的综合效益。 </w:t>
      </w:r>
    </w:p>
    <w:p w14:paraId="5B78F68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2.评价对象及范围 </w:t>
      </w:r>
    </w:p>
    <w:p w14:paraId="5E5A850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2024年度单位预算和单位所管理的专项资金。</w:t>
      </w:r>
    </w:p>
    <w:p w14:paraId="4FDA8AD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3.评价原则 </w:t>
      </w:r>
    </w:p>
    <w:p w14:paraId="4155202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（1）科学规范原则。注重财政支出的经济性、效率性和有 效性，采用定量与定性相结合的方法。 </w:t>
      </w:r>
    </w:p>
    <w:p w14:paraId="0520D05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（2）公开公正原则。客观、公正，标准统一、数据资料真 实可靠，公开并接受监督。 </w:t>
      </w:r>
    </w:p>
    <w:p w14:paraId="0E113BE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（3）问题导向原则。发现问题、分析问题和解决问题,程序 与结果并重。 </w:t>
      </w:r>
    </w:p>
    <w:p w14:paraId="2BA73B4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（4）统一管理原则。自觉接受财政部门统一组织管理。 </w:t>
      </w:r>
    </w:p>
    <w:p w14:paraId="12F0675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（5）绩效相关原则。针对具体投入及其产出绩效进行，评 价结果清晰反映投入和绩效之间的对应关系。 </w:t>
      </w:r>
    </w:p>
    <w:p w14:paraId="29095FE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4.评价方法 </w:t>
      </w:r>
    </w:p>
    <w:p w14:paraId="2131C57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综合运用成本效益分析法、因素分析法等方法，具体通过资料梳理、调研访谈、制定评价指标和标准、数据采集、等方式进行部门整体支出绩效综合评价。评价指标采取定量与定性相结合、优先定量的原则。 </w:t>
      </w:r>
    </w:p>
    <w:p w14:paraId="33EC5A2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 5.评价指标体系 </w:t>
      </w:r>
    </w:p>
    <w:p w14:paraId="3F40C78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评价以南京市财政局《2024年度南京市市级预算部门（单位）绩效管理工作要求》（宁财绩〔2024〕72号）为指引，结合我单位特点，从“部门决策、部门管理、部门履职、履职绩效、可持续发展能力”五个维度设计指标，其中“部门决策”“部门管理” 两类指标参照了南京市财政局规定的共性指标。“部门履职”“履职绩效”“可持续发展能力”三类指标充分考虑了我单位职能特点和年度重点工作任务等内容。 </w:t>
      </w:r>
    </w:p>
    <w:p w14:paraId="001F6EEE">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评价通过设计评价指标、制定评价标准以及评分规则等，形成了一套较为完整的绩效评价指标体系。指标设计遵循了相关性、可比性、重要性的原则，以财政资金管理使用为主线，沿着资金的使用前、使用中、使用后的逻辑路径，力求涵盖部门的目标任务、预算配置、预算执行、预算管理、资产管理、职责履行和履职效益等内容。 </w:t>
      </w:r>
    </w:p>
    <w:p w14:paraId="44917C5D">
      <w:pPr>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 xml:space="preserve">评价组织实施 </w:t>
      </w:r>
    </w:p>
    <w:p w14:paraId="0709FFD0">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1.财务部门根据预算执行情况、财务管理情况、资产管理情况、内部控制建设情况，评价部门管理。</w:t>
      </w:r>
    </w:p>
    <w:p w14:paraId="5C1B9437">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2.各业务部门、各年级组根据年初确定的重点工作任务，评价部门履职和履职绩效。</w:t>
      </w:r>
    </w:p>
    <w:p w14:paraId="7E8F0D5F">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3.园领导班子根据中长期规划、年度工作计划、人员管理情况，评价部门决策、可持续发展能力。</w:t>
      </w:r>
    </w:p>
    <w:p w14:paraId="1999D60F">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4.绩效评价工作小组汇总分析评价数据，依据制订的评价标准和打分规则，对整体绩效进行分析以及量化打分。根据资料信息汇总及评价分析结果，出具正式绩效评价报告。</w:t>
      </w:r>
    </w:p>
    <w:p w14:paraId="0FDA573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val="0"/>
          <w:bCs w:val="0"/>
          <w:color w:val="auto"/>
          <w:sz w:val="32"/>
          <w:szCs w:val="32"/>
        </w:rPr>
      </w:pPr>
    </w:p>
    <w:p w14:paraId="5AF01CFB">
      <w:pPr>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b w:val="0"/>
          <w:bCs w:val="0"/>
          <w:color w:val="0000FF"/>
          <w:kern w:val="0"/>
          <w:sz w:val="32"/>
          <w:szCs w:val="32"/>
        </w:rPr>
      </w:pPr>
    </w:p>
    <w:p w14:paraId="2BADE70E">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kern w:val="0"/>
          <w:sz w:val="32"/>
          <w:szCs w:val="32"/>
        </w:rPr>
      </w:pPr>
      <w:r>
        <w:rPr>
          <w:rFonts w:ascii="Times New Roman" w:hAnsi="Times New Roman" w:eastAsia="仿宋_GB2312" w:cs="Times New Roman"/>
          <w:b w:val="0"/>
          <w:bCs w:val="0"/>
          <w:kern w:val="0"/>
          <w:sz w:val="32"/>
          <w:szCs w:val="32"/>
        </w:rPr>
        <w:t>附件：</w:t>
      </w:r>
      <w:bookmarkStart w:id="0" w:name="_Hlk49347654"/>
      <w:r>
        <w:rPr>
          <w:rFonts w:ascii="Times New Roman" w:hAnsi="Times New Roman" w:eastAsia="仿宋_GB2312" w:cs="Times New Roman"/>
          <w:b w:val="0"/>
          <w:bCs w:val="0"/>
          <w:sz w:val="32"/>
          <w:szCs w:val="32"/>
        </w:rPr>
        <w:t>202</w:t>
      </w:r>
      <w:r>
        <w:rPr>
          <w:rFonts w:hint="eastAsia" w:ascii="Times New Roman" w:hAnsi="Times New Roman" w:eastAsia="仿宋_GB2312" w:cs="Times New Roman"/>
          <w:b w:val="0"/>
          <w:bCs w:val="0"/>
          <w:sz w:val="32"/>
          <w:szCs w:val="32"/>
          <w:lang w:val="en-US" w:eastAsia="zh-CN"/>
        </w:rPr>
        <w:t>4</w:t>
      </w:r>
      <w:r>
        <w:rPr>
          <w:rFonts w:ascii="Times New Roman" w:hAnsi="Times New Roman" w:eastAsia="仿宋_GB2312" w:cs="Times New Roman"/>
          <w:b w:val="0"/>
          <w:bCs w:val="0"/>
          <w:sz w:val="32"/>
          <w:szCs w:val="32"/>
        </w:rPr>
        <w:t>年度整体支出绩效评价指标</w:t>
      </w:r>
      <w:r>
        <w:rPr>
          <w:rFonts w:hint="eastAsia" w:ascii="Times New Roman" w:hAnsi="Times New Roman" w:eastAsia="仿宋_GB2312" w:cs="Times New Roman"/>
          <w:b w:val="0"/>
          <w:bCs w:val="0"/>
          <w:sz w:val="32"/>
          <w:szCs w:val="32"/>
        </w:rPr>
        <w:t>体系</w:t>
      </w:r>
      <w:bookmarkEnd w:id="0"/>
      <w:r>
        <w:rPr>
          <w:rFonts w:hint="eastAsia" w:ascii="Times New Roman" w:hAnsi="Times New Roman" w:eastAsia="仿宋_GB2312" w:cs="Times New Roman"/>
          <w:b w:val="0"/>
          <w:bCs w:val="0"/>
          <w:sz w:val="32"/>
          <w:szCs w:val="32"/>
        </w:rPr>
        <w:t>表</w:t>
      </w:r>
    </w:p>
    <w:p w14:paraId="1BB02664">
      <w:pPr>
        <w:pageBreakBefore w:val="0"/>
        <w:kinsoku/>
        <w:wordWrap/>
        <w:overflowPunct/>
        <w:topLinePunct w:val="0"/>
        <w:autoSpaceDE/>
        <w:autoSpaceDN/>
        <w:bidi w:val="0"/>
        <w:spacing w:line="560" w:lineRule="exact"/>
        <w:ind w:firstLine="960" w:firstLineChars="300"/>
        <w:rPr>
          <w:rFonts w:ascii="Times New Roman" w:hAnsi="Times New Roman" w:eastAsia="仿宋_GB2312" w:cs="Times New Roman"/>
          <w:b w:val="0"/>
          <w:bCs w:val="0"/>
          <w:kern w:val="0"/>
          <w:sz w:val="32"/>
          <w:szCs w:val="32"/>
        </w:rPr>
      </w:pPr>
    </w:p>
    <w:p w14:paraId="38600F14">
      <w:pPr>
        <w:pStyle w:val="11"/>
        <w:pageBreakBefore w:val="0"/>
        <w:kinsoku/>
        <w:wordWrap/>
        <w:overflowPunct/>
        <w:topLinePunct w:val="0"/>
        <w:autoSpaceDE/>
        <w:autoSpaceDN/>
        <w:bidi w:val="0"/>
        <w:spacing w:line="560" w:lineRule="exact"/>
        <w:ind w:firstLine="600"/>
        <w:rPr>
          <w:b w:val="0"/>
          <w:bCs w:val="0"/>
        </w:rPr>
      </w:pPr>
    </w:p>
    <w:p w14:paraId="72CFC0A9">
      <w:pPr>
        <w:pageBreakBefore w:val="0"/>
        <w:kinsoku/>
        <w:wordWrap/>
        <w:overflowPunct/>
        <w:topLinePunct w:val="0"/>
        <w:autoSpaceDE/>
        <w:autoSpaceDN/>
        <w:bidi w:val="0"/>
        <w:spacing w:line="560" w:lineRule="exact"/>
        <w:jc w:val="both"/>
        <w:rPr>
          <w:rFonts w:ascii="Times New Roman" w:hAnsi="Times New Roman" w:eastAsia="仿宋_GB2312" w:cs="Times New Roman"/>
          <w:b w:val="0"/>
          <w:bCs w:val="0"/>
          <w:color w:val="auto"/>
          <w:kern w:val="0"/>
          <w:sz w:val="32"/>
          <w:szCs w:val="32"/>
          <w:highlight w:val="none"/>
        </w:rPr>
        <w:sectPr>
          <w:footerReference r:id="rId3" w:type="default"/>
          <w:pgSz w:w="11906" w:h="16838"/>
          <w:pgMar w:top="1587" w:right="1588" w:bottom="1587" w:left="1588" w:header="851" w:footer="992" w:gutter="0"/>
          <w:pgNumType w:fmt="decimal"/>
          <w:cols w:space="0" w:num="1"/>
          <w:rtlGutter w:val="0"/>
          <w:docGrid w:type="lines" w:linePitch="312" w:charSpace="0"/>
        </w:sectPr>
      </w:pPr>
    </w:p>
    <w:p w14:paraId="310F8B93">
      <w:pPr>
        <w:spacing w:line="560" w:lineRule="exact"/>
        <w:ind w:right="3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p>
    <w:p w14:paraId="100B19E8">
      <w:pPr>
        <w:pStyle w:val="19"/>
        <w:keepNext/>
        <w:keepLines/>
        <w:numPr>
          <w:ilvl w:val="0"/>
          <w:numId w:val="0"/>
        </w:numPr>
        <w:spacing w:before="120" w:after="60" w:line="240" w:lineRule="auto"/>
        <w:jc w:val="center"/>
        <w:rPr>
          <w:rFonts w:ascii="Times New Roman" w:hAnsi="Times New Roman" w:cs="Times New Roman"/>
          <w:b w:val="0"/>
          <w:bCs/>
          <w:sz w:val="32"/>
          <w:szCs w:val="32"/>
        </w:rPr>
      </w:pPr>
      <w:bookmarkStart w:id="1" w:name="_Toc43108067"/>
      <w:bookmarkStart w:id="2" w:name="_Toc43223984"/>
      <w:r>
        <w:rPr>
          <w:rFonts w:ascii="Times New Roman" w:hAnsi="Times New Roman" w:cs="Times New Roman"/>
          <w:b w:val="0"/>
          <w:bCs/>
          <w:sz w:val="32"/>
          <w:szCs w:val="32"/>
        </w:rPr>
        <w:t>202</w:t>
      </w:r>
      <w:r>
        <w:rPr>
          <w:rFonts w:hint="eastAsia" w:ascii="Times New Roman" w:hAnsi="Times New Roman" w:cs="Times New Roman"/>
          <w:b w:val="0"/>
          <w:bCs/>
          <w:sz w:val="32"/>
          <w:szCs w:val="32"/>
          <w:lang w:val="en-US" w:eastAsia="zh-CN"/>
        </w:rPr>
        <w:t>4</w:t>
      </w:r>
      <w:r>
        <w:rPr>
          <w:rFonts w:ascii="Times New Roman" w:hAnsi="Times New Roman" w:cs="Times New Roman"/>
          <w:b w:val="0"/>
          <w:bCs/>
          <w:sz w:val="32"/>
          <w:szCs w:val="32"/>
        </w:rPr>
        <w:t>年度整体支出绩效评价指标体系表</w:t>
      </w:r>
    </w:p>
    <w:tbl>
      <w:tblPr>
        <w:tblStyle w:val="12"/>
        <w:tblpPr w:leftFromText="180" w:rightFromText="180" w:vertAnchor="text" w:horzAnchor="page" w:tblpX="1872" w:tblpY="431"/>
        <w:tblOverlap w:val="never"/>
        <w:tblW w:w="49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2"/>
        <w:gridCol w:w="1030"/>
        <w:gridCol w:w="1362"/>
        <w:gridCol w:w="964"/>
        <w:gridCol w:w="621"/>
        <w:gridCol w:w="2765"/>
        <w:gridCol w:w="3353"/>
        <w:gridCol w:w="922"/>
        <w:gridCol w:w="867"/>
        <w:gridCol w:w="867"/>
      </w:tblGrid>
      <w:tr w14:paraId="3647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Header/>
        </w:trPr>
        <w:tc>
          <w:tcPr>
            <w:tcW w:w="295" w:type="pct"/>
            <w:tcMar>
              <w:top w:w="15" w:type="dxa"/>
              <w:left w:w="15" w:type="dxa"/>
              <w:right w:w="15" w:type="dxa"/>
            </w:tcMar>
            <w:vAlign w:val="center"/>
          </w:tcPr>
          <w:p w14:paraId="53B5A86B">
            <w:pPr>
              <w:pStyle w:val="21"/>
              <w:spacing w:line="240" w:lineRule="auto"/>
              <w:rPr>
                <w:rFonts w:cs="Times New Roman"/>
                <w:b/>
                <w:bCs w:val="0"/>
              </w:rPr>
            </w:pPr>
            <w:r>
              <w:rPr>
                <w:rFonts w:cs="Times New Roman"/>
                <w:b/>
                <w:bCs w:val="0"/>
                <w:lang w:val="en-US"/>
              </w:rPr>
              <w:t>一级指标</w:t>
            </w:r>
          </w:p>
        </w:tc>
        <w:tc>
          <w:tcPr>
            <w:tcW w:w="379" w:type="pct"/>
            <w:tcMar>
              <w:top w:w="15" w:type="dxa"/>
              <w:left w:w="15" w:type="dxa"/>
              <w:right w:w="15" w:type="dxa"/>
            </w:tcMar>
            <w:vAlign w:val="center"/>
          </w:tcPr>
          <w:p w14:paraId="629F1406">
            <w:pPr>
              <w:pStyle w:val="21"/>
              <w:spacing w:line="240" w:lineRule="auto"/>
              <w:rPr>
                <w:rFonts w:cs="Times New Roman"/>
                <w:b/>
                <w:bCs w:val="0"/>
              </w:rPr>
            </w:pPr>
            <w:r>
              <w:rPr>
                <w:rFonts w:cs="Times New Roman"/>
                <w:b/>
                <w:bCs w:val="0"/>
                <w:lang w:val="en-US"/>
              </w:rPr>
              <w:t>二级指标</w:t>
            </w:r>
          </w:p>
        </w:tc>
        <w:tc>
          <w:tcPr>
            <w:tcW w:w="502" w:type="pct"/>
            <w:tcMar>
              <w:top w:w="15" w:type="dxa"/>
              <w:left w:w="15" w:type="dxa"/>
              <w:right w:w="15" w:type="dxa"/>
            </w:tcMar>
            <w:vAlign w:val="center"/>
          </w:tcPr>
          <w:p w14:paraId="48A11893">
            <w:pPr>
              <w:pStyle w:val="21"/>
              <w:spacing w:line="240" w:lineRule="auto"/>
              <w:rPr>
                <w:rFonts w:cs="Times New Roman"/>
                <w:b/>
                <w:bCs w:val="0"/>
              </w:rPr>
            </w:pPr>
            <w:r>
              <w:rPr>
                <w:rFonts w:cs="Times New Roman"/>
                <w:b/>
                <w:bCs w:val="0"/>
                <w:lang w:val="en-US"/>
              </w:rPr>
              <w:t>三级指标</w:t>
            </w:r>
          </w:p>
        </w:tc>
        <w:tc>
          <w:tcPr>
            <w:tcW w:w="355" w:type="pct"/>
            <w:tcMar>
              <w:top w:w="15" w:type="dxa"/>
              <w:left w:w="15" w:type="dxa"/>
              <w:right w:w="15" w:type="dxa"/>
            </w:tcMar>
            <w:vAlign w:val="center"/>
          </w:tcPr>
          <w:p w14:paraId="14A3360E">
            <w:pPr>
              <w:pStyle w:val="21"/>
              <w:spacing w:line="240" w:lineRule="auto"/>
              <w:rPr>
                <w:rFonts w:cs="Times New Roman"/>
                <w:b/>
                <w:bCs w:val="0"/>
              </w:rPr>
            </w:pPr>
            <w:r>
              <w:rPr>
                <w:rFonts w:cs="Times New Roman"/>
                <w:b/>
                <w:bCs w:val="0"/>
                <w:lang w:val="en-US"/>
              </w:rPr>
              <w:t>目标值</w:t>
            </w:r>
          </w:p>
        </w:tc>
        <w:tc>
          <w:tcPr>
            <w:tcW w:w="229" w:type="pct"/>
            <w:tcMar>
              <w:top w:w="15" w:type="dxa"/>
              <w:left w:w="15" w:type="dxa"/>
              <w:right w:w="15" w:type="dxa"/>
            </w:tcMar>
            <w:vAlign w:val="center"/>
          </w:tcPr>
          <w:p w14:paraId="5E57004B">
            <w:pPr>
              <w:pStyle w:val="21"/>
              <w:spacing w:line="240" w:lineRule="auto"/>
              <w:rPr>
                <w:rFonts w:cs="Times New Roman"/>
                <w:b/>
                <w:bCs w:val="0"/>
              </w:rPr>
            </w:pPr>
            <w:r>
              <w:rPr>
                <w:rFonts w:cs="Times New Roman"/>
                <w:b/>
                <w:bCs w:val="0"/>
                <w:lang w:val="en-US"/>
              </w:rPr>
              <w:t>权重</w:t>
            </w:r>
          </w:p>
        </w:tc>
        <w:tc>
          <w:tcPr>
            <w:tcW w:w="1020" w:type="pct"/>
            <w:tcMar>
              <w:top w:w="15" w:type="dxa"/>
              <w:left w:w="15" w:type="dxa"/>
              <w:right w:w="15" w:type="dxa"/>
            </w:tcMar>
            <w:vAlign w:val="center"/>
          </w:tcPr>
          <w:p w14:paraId="2C44A565">
            <w:pPr>
              <w:pStyle w:val="21"/>
              <w:spacing w:line="240" w:lineRule="auto"/>
              <w:rPr>
                <w:rFonts w:cs="Times New Roman"/>
                <w:b/>
                <w:bCs w:val="0"/>
              </w:rPr>
            </w:pPr>
            <w:r>
              <w:rPr>
                <w:rFonts w:cs="Times New Roman"/>
                <w:b/>
                <w:bCs w:val="0"/>
                <w:lang w:val="en-US"/>
              </w:rPr>
              <w:t>指标说明</w:t>
            </w:r>
          </w:p>
        </w:tc>
        <w:tc>
          <w:tcPr>
            <w:tcW w:w="1236" w:type="pct"/>
            <w:tcMar>
              <w:top w:w="15" w:type="dxa"/>
              <w:left w:w="15" w:type="dxa"/>
              <w:right w:w="15" w:type="dxa"/>
            </w:tcMar>
            <w:vAlign w:val="center"/>
          </w:tcPr>
          <w:p w14:paraId="3E9FAD17">
            <w:pPr>
              <w:pStyle w:val="21"/>
              <w:spacing w:line="240" w:lineRule="auto"/>
              <w:rPr>
                <w:rFonts w:hint="default" w:eastAsia="仿宋_GB2312" w:cs="Times New Roman"/>
                <w:b/>
                <w:bCs w:val="0"/>
                <w:lang w:val="en-US" w:eastAsia="zh-CN"/>
              </w:rPr>
            </w:pPr>
            <w:r>
              <w:rPr>
                <w:rFonts w:hint="eastAsia" w:cs="Times New Roman"/>
                <w:b/>
                <w:bCs w:val="0"/>
                <w:lang w:val="en-US" w:eastAsia="zh-CN"/>
              </w:rPr>
              <w:t>评分说明</w:t>
            </w:r>
          </w:p>
        </w:tc>
        <w:tc>
          <w:tcPr>
            <w:tcW w:w="340" w:type="pct"/>
            <w:tcMar>
              <w:top w:w="15" w:type="dxa"/>
              <w:left w:w="15" w:type="dxa"/>
              <w:right w:w="15" w:type="dxa"/>
            </w:tcMar>
            <w:vAlign w:val="center"/>
          </w:tcPr>
          <w:p w14:paraId="55466B47">
            <w:pPr>
              <w:pStyle w:val="21"/>
              <w:tabs>
                <w:tab w:val="left" w:pos="269"/>
              </w:tabs>
              <w:spacing w:line="240" w:lineRule="auto"/>
              <w:jc w:val="left"/>
              <w:rPr>
                <w:rFonts w:hint="default" w:eastAsia="仿宋_GB2312" w:cs="Times New Roman"/>
                <w:b/>
                <w:bCs w:val="0"/>
                <w:lang w:val="en-US" w:eastAsia="zh-CN"/>
              </w:rPr>
            </w:pPr>
            <w:r>
              <w:rPr>
                <w:rFonts w:hint="eastAsia" w:cs="Times New Roman"/>
                <w:b/>
                <w:bCs w:val="0"/>
                <w:lang w:val="en-US" w:eastAsia="zh-CN"/>
              </w:rPr>
              <w:t>实际完成情况</w:t>
            </w:r>
          </w:p>
        </w:tc>
        <w:tc>
          <w:tcPr>
            <w:tcW w:w="319" w:type="pct"/>
            <w:tcMar>
              <w:top w:w="15" w:type="dxa"/>
              <w:left w:w="15" w:type="dxa"/>
              <w:right w:w="15" w:type="dxa"/>
            </w:tcMar>
            <w:vAlign w:val="center"/>
          </w:tcPr>
          <w:p w14:paraId="028E673D">
            <w:pPr>
              <w:pStyle w:val="21"/>
              <w:spacing w:line="240" w:lineRule="auto"/>
              <w:rPr>
                <w:rFonts w:cs="Times New Roman"/>
                <w:b/>
                <w:bCs w:val="0"/>
                <w:lang w:val="en-US"/>
              </w:rPr>
            </w:pPr>
            <w:r>
              <w:rPr>
                <w:rFonts w:cs="Times New Roman"/>
                <w:b/>
                <w:bCs w:val="0"/>
                <w:lang w:val="en-US"/>
              </w:rPr>
              <w:t>得分</w:t>
            </w:r>
          </w:p>
        </w:tc>
        <w:tc>
          <w:tcPr>
            <w:tcW w:w="319" w:type="pct"/>
            <w:tcMar>
              <w:top w:w="15" w:type="dxa"/>
              <w:left w:w="15" w:type="dxa"/>
              <w:right w:w="15" w:type="dxa"/>
            </w:tcMar>
            <w:vAlign w:val="center"/>
          </w:tcPr>
          <w:p w14:paraId="4625A4B0">
            <w:pPr>
              <w:pStyle w:val="21"/>
              <w:spacing w:line="240" w:lineRule="auto"/>
              <w:rPr>
                <w:rFonts w:hint="default" w:eastAsia="仿宋_GB2312" w:cs="Times New Roman"/>
                <w:b/>
                <w:bCs w:val="0"/>
                <w:lang w:val="en-US" w:eastAsia="zh-CN"/>
              </w:rPr>
            </w:pPr>
            <w:r>
              <w:rPr>
                <w:rFonts w:hint="eastAsia" w:cs="Times New Roman"/>
                <w:b/>
                <w:bCs w:val="0"/>
                <w:lang w:val="en-US" w:eastAsia="zh-CN"/>
              </w:rPr>
              <w:t>未完成原因</w:t>
            </w:r>
          </w:p>
        </w:tc>
      </w:tr>
      <w:tr w14:paraId="2C77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restart"/>
            <w:tcMar>
              <w:top w:w="15" w:type="dxa"/>
              <w:left w:w="15" w:type="dxa"/>
              <w:right w:w="15" w:type="dxa"/>
            </w:tcMar>
            <w:vAlign w:val="center"/>
          </w:tcPr>
          <w:p w14:paraId="598672D1">
            <w:pPr>
              <w:pStyle w:val="21"/>
              <w:spacing w:line="240" w:lineRule="auto"/>
              <w:jc w:val="left"/>
              <w:rPr>
                <w:rFonts w:cs="Times New Roman"/>
              </w:rPr>
            </w:pPr>
            <w:r>
              <w:rPr>
                <w:rFonts w:cs="Times New Roman"/>
                <w:lang w:val="en-US"/>
              </w:rPr>
              <w:t>A部门决策（15分）</w:t>
            </w:r>
          </w:p>
        </w:tc>
        <w:tc>
          <w:tcPr>
            <w:tcW w:w="379" w:type="pct"/>
            <w:vMerge w:val="restart"/>
            <w:tcMar>
              <w:top w:w="15" w:type="dxa"/>
              <w:left w:w="15" w:type="dxa"/>
              <w:right w:w="15" w:type="dxa"/>
            </w:tcMar>
            <w:vAlign w:val="center"/>
          </w:tcPr>
          <w:p w14:paraId="4390A452">
            <w:pPr>
              <w:pStyle w:val="21"/>
              <w:spacing w:line="240" w:lineRule="auto"/>
              <w:jc w:val="left"/>
              <w:rPr>
                <w:rFonts w:cs="Times New Roman"/>
              </w:rPr>
            </w:pPr>
            <w:r>
              <w:rPr>
                <w:rFonts w:cs="Times New Roman"/>
                <w:lang w:val="en-US"/>
              </w:rPr>
              <w:t>A1决策机制</w:t>
            </w:r>
          </w:p>
        </w:tc>
        <w:tc>
          <w:tcPr>
            <w:tcW w:w="502" w:type="pct"/>
            <w:tcMar>
              <w:top w:w="15" w:type="dxa"/>
              <w:left w:w="15" w:type="dxa"/>
              <w:right w:w="15" w:type="dxa"/>
            </w:tcMar>
            <w:vAlign w:val="center"/>
          </w:tcPr>
          <w:p w14:paraId="130BE6D2">
            <w:pPr>
              <w:pStyle w:val="21"/>
              <w:spacing w:line="240" w:lineRule="auto"/>
              <w:jc w:val="left"/>
              <w:rPr>
                <w:rFonts w:cs="Times New Roman"/>
              </w:rPr>
            </w:pPr>
            <w:r>
              <w:rPr>
                <w:rFonts w:cs="Times New Roman"/>
                <w:lang w:val="en-US"/>
              </w:rPr>
              <w:t>A11决策制度的规范性</w:t>
            </w:r>
          </w:p>
        </w:tc>
        <w:tc>
          <w:tcPr>
            <w:tcW w:w="355" w:type="pct"/>
            <w:tcMar>
              <w:top w:w="15" w:type="dxa"/>
              <w:left w:w="15" w:type="dxa"/>
              <w:right w:w="15" w:type="dxa"/>
            </w:tcMar>
            <w:vAlign w:val="center"/>
          </w:tcPr>
          <w:p w14:paraId="10180BDC">
            <w:pPr>
              <w:pStyle w:val="21"/>
              <w:spacing w:line="240" w:lineRule="auto"/>
              <w:rPr>
                <w:rFonts w:cs="Times New Roman"/>
              </w:rPr>
            </w:pPr>
            <w:r>
              <w:rPr>
                <w:rFonts w:cs="Times New Roman"/>
                <w:lang w:val="en-US"/>
              </w:rPr>
              <w:t>规范</w:t>
            </w:r>
          </w:p>
        </w:tc>
        <w:tc>
          <w:tcPr>
            <w:tcW w:w="229" w:type="pct"/>
            <w:tcMar>
              <w:top w:w="15" w:type="dxa"/>
              <w:left w:w="15" w:type="dxa"/>
              <w:right w:w="15" w:type="dxa"/>
            </w:tcMar>
            <w:vAlign w:val="center"/>
          </w:tcPr>
          <w:p w14:paraId="5EC24869">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601BBB1C">
            <w:pPr>
              <w:pStyle w:val="21"/>
              <w:spacing w:line="240" w:lineRule="auto"/>
              <w:jc w:val="left"/>
              <w:rPr>
                <w:rFonts w:cs="Times New Roman"/>
              </w:rPr>
            </w:pPr>
            <w:r>
              <w:rPr>
                <w:rFonts w:cs="Times New Roman"/>
                <w:lang w:val="en-US"/>
              </w:rPr>
              <w:t>考察部门决策制度是否规范。</w:t>
            </w:r>
          </w:p>
        </w:tc>
        <w:tc>
          <w:tcPr>
            <w:tcW w:w="1236" w:type="pct"/>
            <w:tcMar>
              <w:top w:w="15" w:type="dxa"/>
              <w:left w:w="15" w:type="dxa"/>
              <w:right w:w="15" w:type="dxa"/>
            </w:tcMar>
            <w:vAlign w:val="center"/>
          </w:tcPr>
          <w:p w14:paraId="42D98250">
            <w:pPr>
              <w:pStyle w:val="21"/>
              <w:spacing w:line="240" w:lineRule="auto"/>
              <w:jc w:val="left"/>
              <w:rPr>
                <w:rFonts w:cs="Times New Roman"/>
              </w:rPr>
            </w:pPr>
            <w:r>
              <w:rPr>
                <w:rFonts w:hint="eastAsia" w:ascii="宋体" w:hAnsi="宋体" w:eastAsia="宋体"/>
                <w:lang w:val="en-US"/>
              </w:rPr>
              <w:t>①</w:t>
            </w:r>
            <w:r>
              <w:rPr>
                <w:rFonts w:cs="Times New Roman"/>
                <w:lang w:val="en-US"/>
              </w:rPr>
              <w:t>部门决策制度完整；</w:t>
            </w:r>
            <w:r>
              <w:rPr>
                <w:rFonts w:hint="eastAsia" w:ascii="宋体" w:hAnsi="宋体" w:eastAsia="宋体"/>
                <w:lang w:val="en-US"/>
              </w:rPr>
              <w:t>②</w:t>
            </w:r>
            <w:r>
              <w:rPr>
                <w:rFonts w:cs="Times New Roman"/>
                <w:lang w:val="en-US"/>
              </w:rPr>
              <w:t>部门决策贯彻落实“三重一大”决策制度。以上2项符合条件得分，否则不得分。</w:t>
            </w:r>
          </w:p>
        </w:tc>
        <w:tc>
          <w:tcPr>
            <w:tcW w:w="340" w:type="pct"/>
            <w:tcMar>
              <w:top w:w="15" w:type="dxa"/>
              <w:left w:w="15" w:type="dxa"/>
              <w:right w:w="15" w:type="dxa"/>
            </w:tcMar>
            <w:vAlign w:val="center"/>
          </w:tcPr>
          <w:p w14:paraId="283A9D1E">
            <w:pPr>
              <w:pStyle w:val="21"/>
              <w:spacing w:line="240" w:lineRule="auto"/>
              <w:rPr>
                <w:rFonts w:eastAsia="宋体" w:cs="Times New Roman"/>
                <w:lang w:val="en-US"/>
              </w:rPr>
            </w:pPr>
            <w:r>
              <w:rPr>
                <w:rFonts w:cs="Times New Roman"/>
                <w:lang w:val="en-US"/>
              </w:rPr>
              <w:t>规范</w:t>
            </w:r>
          </w:p>
        </w:tc>
        <w:tc>
          <w:tcPr>
            <w:tcW w:w="319" w:type="pct"/>
            <w:tcMar>
              <w:top w:w="15" w:type="dxa"/>
              <w:left w:w="15" w:type="dxa"/>
              <w:right w:w="15" w:type="dxa"/>
            </w:tcMar>
            <w:vAlign w:val="center"/>
          </w:tcPr>
          <w:p w14:paraId="0349B740">
            <w:pPr>
              <w:pStyle w:val="21"/>
              <w:spacing w:line="240" w:lineRule="auto"/>
              <w:rPr>
                <w:rFonts w:eastAsia="宋体" w:cs="Times New Roman"/>
                <w:lang w:val="en-US"/>
              </w:rPr>
            </w:pPr>
            <w:r>
              <w:rPr>
                <w:rFonts w:eastAsia="宋体" w:cs="Times New Roman"/>
                <w:lang w:val="en-US"/>
              </w:rPr>
              <w:t>2</w:t>
            </w:r>
          </w:p>
        </w:tc>
        <w:tc>
          <w:tcPr>
            <w:tcW w:w="319" w:type="pct"/>
            <w:shd w:val="clear" w:color="auto" w:fill="auto"/>
            <w:tcMar>
              <w:top w:w="15" w:type="dxa"/>
              <w:left w:w="15" w:type="dxa"/>
              <w:right w:w="15" w:type="dxa"/>
            </w:tcMar>
            <w:vAlign w:val="center"/>
          </w:tcPr>
          <w:p w14:paraId="6602C1C1">
            <w:pPr>
              <w:pStyle w:val="21"/>
              <w:spacing w:line="240" w:lineRule="auto"/>
              <w:ind w:firstLine="0" w:firstLineChars="0"/>
              <w:rPr>
                <w:rFonts w:ascii="Times New Roman" w:hAnsi="Times New Roman" w:eastAsia="仿宋_GB2312" w:cs="Times New Roman"/>
                <w:b/>
                <w:bCs w:val="0"/>
                <w:color w:val="000000"/>
                <w:kern w:val="0"/>
                <w:sz w:val="22"/>
                <w:szCs w:val="22"/>
                <w:lang w:val="en-US" w:eastAsia="zh-CN" w:bidi="ar-SA"/>
              </w:rPr>
            </w:pPr>
          </w:p>
        </w:tc>
      </w:tr>
      <w:tr w14:paraId="51CB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7A29F060">
            <w:pPr>
              <w:pStyle w:val="21"/>
              <w:spacing w:line="240" w:lineRule="auto"/>
              <w:jc w:val="left"/>
              <w:rPr>
                <w:rFonts w:cs="Times New Roman"/>
              </w:rPr>
            </w:pPr>
          </w:p>
        </w:tc>
        <w:tc>
          <w:tcPr>
            <w:tcW w:w="379" w:type="pct"/>
            <w:vMerge w:val="continue"/>
            <w:tcMar>
              <w:top w:w="15" w:type="dxa"/>
              <w:left w:w="15" w:type="dxa"/>
              <w:right w:w="15" w:type="dxa"/>
            </w:tcMar>
            <w:vAlign w:val="center"/>
          </w:tcPr>
          <w:p w14:paraId="2F54F416">
            <w:pPr>
              <w:pStyle w:val="21"/>
              <w:spacing w:line="240" w:lineRule="auto"/>
              <w:jc w:val="left"/>
              <w:rPr>
                <w:rFonts w:cs="Times New Roman"/>
              </w:rPr>
            </w:pPr>
          </w:p>
        </w:tc>
        <w:tc>
          <w:tcPr>
            <w:tcW w:w="502" w:type="pct"/>
            <w:tcMar>
              <w:top w:w="15" w:type="dxa"/>
              <w:left w:w="15" w:type="dxa"/>
              <w:right w:w="15" w:type="dxa"/>
            </w:tcMar>
            <w:vAlign w:val="center"/>
          </w:tcPr>
          <w:p w14:paraId="0DF8317A">
            <w:pPr>
              <w:pStyle w:val="21"/>
              <w:spacing w:line="240" w:lineRule="auto"/>
              <w:jc w:val="left"/>
              <w:rPr>
                <w:rFonts w:cs="Times New Roman"/>
              </w:rPr>
            </w:pPr>
            <w:r>
              <w:rPr>
                <w:rFonts w:cs="Times New Roman"/>
                <w:lang w:val="en-US"/>
              </w:rPr>
              <w:t>A12决策流程的科学性</w:t>
            </w:r>
          </w:p>
        </w:tc>
        <w:tc>
          <w:tcPr>
            <w:tcW w:w="355" w:type="pct"/>
            <w:tcMar>
              <w:top w:w="15" w:type="dxa"/>
              <w:left w:w="15" w:type="dxa"/>
              <w:right w:w="15" w:type="dxa"/>
            </w:tcMar>
            <w:vAlign w:val="center"/>
          </w:tcPr>
          <w:p w14:paraId="19705A92">
            <w:pPr>
              <w:pStyle w:val="21"/>
              <w:spacing w:line="240" w:lineRule="auto"/>
              <w:rPr>
                <w:rFonts w:cs="Times New Roman"/>
              </w:rPr>
            </w:pPr>
            <w:r>
              <w:rPr>
                <w:rFonts w:cs="Times New Roman"/>
                <w:lang w:val="en-US"/>
              </w:rPr>
              <w:t>科学</w:t>
            </w:r>
          </w:p>
        </w:tc>
        <w:tc>
          <w:tcPr>
            <w:tcW w:w="229" w:type="pct"/>
            <w:tcMar>
              <w:top w:w="15" w:type="dxa"/>
              <w:left w:w="15" w:type="dxa"/>
              <w:right w:w="15" w:type="dxa"/>
            </w:tcMar>
            <w:vAlign w:val="center"/>
          </w:tcPr>
          <w:p w14:paraId="7C81FC10">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20700FB6">
            <w:pPr>
              <w:pStyle w:val="21"/>
              <w:spacing w:line="240" w:lineRule="auto"/>
              <w:jc w:val="left"/>
              <w:rPr>
                <w:rFonts w:cs="Times New Roman"/>
              </w:rPr>
            </w:pPr>
            <w:r>
              <w:rPr>
                <w:rFonts w:cs="Times New Roman"/>
                <w:lang w:val="en-US"/>
              </w:rPr>
              <w:t>考察部门决策流程是否科学。</w:t>
            </w:r>
          </w:p>
        </w:tc>
        <w:tc>
          <w:tcPr>
            <w:tcW w:w="1236" w:type="pct"/>
            <w:tcMar>
              <w:top w:w="15" w:type="dxa"/>
              <w:left w:w="15" w:type="dxa"/>
              <w:right w:w="15" w:type="dxa"/>
            </w:tcMar>
            <w:vAlign w:val="center"/>
          </w:tcPr>
          <w:p w14:paraId="36D78017">
            <w:pPr>
              <w:pStyle w:val="21"/>
              <w:spacing w:line="240" w:lineRule="auto"/>
              <w:jc w:val="left"/>
              <w:rPr>
                <w:rFonts w:cs="Times New Roman"/>
              </w:rPr>
            </w:pPr>
            <w:r>
              <w:rPr>
                <w:rFonts w:hint="eastAsia" w:ascii="宋体" w:hAnsi="宋体" w:eastAsia="宋体"/>
                <w:lang w:val="en-US"/>
              </w:rPr>
              <w:t>①</w:t>
            </w:r>
            <w:r>
              <w:rPr>
                <w:rFonts w:cs="Times New Roman"/>
                <w:lang w:val="en-US"/>
              </w:rPr>
              <w:t>部门决策流程是否明确清晰；</w:t>
            </w:r>
            <w:r>
              <w:rPr>
                <w:rFonts w:hint="eastAsia" w:ascii="宋体" w:hAnsi="宋体" w:eastAsia="宋体"/>
                <w:lang w:val="en-US"/>
              </w:rPr>
              <w:t>②</w:t>
            </w:r>
            <w:r>
              <w:rPr>
                <w:rFonts w:cs="Times New Roman"/>
                <w:lang w:val="en-US"/>
              </w:rPr>
              <w:t>部门决策流程是否完整；</w:t>
            </w:r>
            <w:r>
              <w:rPr>
                <w:rFonts w:hint="eastAsia" w:ascii="宋体" w:hAnsi="宋体" w:eastAsia="宋体"/>
                <w:lang w:val="en-US"/>
              </w:rPr>
              <w:t>③</w:t>
            </w:r>
            <w:r>
              <w:rPr>
                <w:rFonts w:cs="Times New Roman"/>
                <w:lang w:val="en-US"/>
              </w:rPr>
              <w:t>部门决策流程是否合理。以上3项各占1/3权重分，符合则得分，否则扣除对应权重分。</w:t>
            </w:r>
          </w:p>
        </w:tc>
        <w:tc>
          <w:tcPr>
            <w:tcW w:w="340" w:type="pct"/>
            <w:tcMar>
              <w:top w:w="15" w:type="dxa"/>
              <w:left w:w="15" w:type="dxa"/>
              <w:right w:w="15" w:type="dxa"/>
            </w:tcMar>
            <w:vAlign w:val="center"/>
          </w:tcPr>
          <w:p w14:paraId="1B6AA3C6">
            <w:pPr>
              <w:pStyle w:val="21"/>
              <w:spacing w:line="240" w:lineRule="auto"/>
              <w:rPr>
                <w:rFonts w:eastAsia="宋体" w:cs="Times New Roman"/>
                <w:lang w:val="en-US"/>
              </w:rPr>
            </w:pPr>
            <w:r>
              <w:rPr>
                <w:rFonts w:cs="Times New Roman"/>
                <w:lang w:val="en-US"/>
              </w:rPr>
              <w:t>科学</w:t>
            </w:r>
          </w:p>
        </w:tc>
        <w:tc>
          <w:tcPr>
            <w:tcW w:w="319" w:type="pct"/>
            <w:tcMar>
              <w:top w:w="15" w:type="dxa"/>
              <w:left w:w="15" w:type="dxa"/>
              <w:right w:w="15" w:type="dxa"/>
            </w:tcMar>
            <w:vAlign w:val="center"/>
          </w:tcPr>
          <w:p w14:paraId="339983CC">
            <w:pPr>
              <w:pStyle w:val="21"/>
              <w:spacing w:line="240" w:lineRule="auto"/>
              <w:rPr>
                <w:rFonts w:eastAsia="宋体" w:cs="Times New Roman"/>
                <w:lang w:val="en-US"/>
              </w:rPr>
            </w:pPr>
            <w:r>
              <w:rPr>
                <w:rFonts w:eastAsia="宋体" w:cs="Times New Roman"/>
                <w:lang w:val="en-US"/>
              </w:rPr>
              <w:t>2</w:t>
            </w:r>
          </w:p>
        </w:tc>
        <w:tc>
          <w:tcPr>
            <w:tcW w:w="319" w:type="pct"/>
            <w:tcMar>
              <w:top w:w="15" w:type="dxa"/>
              <w:left w:w="15" w:type="dxa"/>
              <w:right w:w="15" w:type="dxa"/>
            </w:tcMar>
            <w:vAlign w:val="center"/>
          </w:tcPr>
          <w:p w14:paraId="65BB4FBD">
            <w:pPr>
              <w:pStyle w:val="21"/>
              <w:spacing w:line="240" w:lineRule="auto"/>
              <w:rPr>
                <w:rFonts w:eastAsia="宋体" w:cs="Times New Roman"/>
                <w:lang w:val="en-US"/>
              </w:rPr>
            </w:pPr>
          </w:p>
        </w:tc>
      </w:tr>
      <w:tr w14:paraId="36A2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19650D2C">
            <w:pPr>
              <w:pStyle w:val="21"/>
              <w:spacing w:line="240" w:lineRule="auto"/>
              <w:jc w:val="left"/>
              <w:rPr>
                <w:rFonts w:cs="Times New Roman"/>
              </w:rPr>
            </w:pPr>
          </w:p>
        </w:tc>
        <w:tc>
          <w:tcPr>
            <w:tcW w:w="379" w:type="pct"/>
            <w:vMerge w:val="continue"/>
            <w:tcMar>
              <w:top w:w="15" w:type="dxa"/>
              <w:left w:w="15" w:type="dxa"/>
              <w:right w:w="15" w:type="dxa"/>
            </w:tcMar>
            <w:vAlign w:val="center"/>
          </w:tcPr>
          <w:p w14:paraId="37D7054F">
            <w:pPr>
              <w:pStyle w:val="21"/>
              <w:spacing w:line="240" w:lineRule="auto"/>
              <w:jc w:val="left"/>
              <w:rPr>
                <w:rFonts w:cs="Times New Roman"/>
              </w:rPr>
            </w:pPr>
          </w:p>
        </w:tc>
        <w:tc>
          <w:tcPr>
            <w:tcW w:w="502" w:type="pct"/>
            <w:tcMar>
              <w:top w:w="15" w:type="dxa"/>
              <w:left w:w="15" w:type="dxa"/>
              <w:right w:w="15" w:type="dxa"/>
            </w:tcMar>
            <w:vAlign w:val="center"/>
          </w:tcPr>
          <w:p w14:paraId="68E6E752">
            <w:pPr>
              <w:pStyle w:val="21"/>
              <w:spacing w:line="240" w:lineRule="auto"/>
              <w:jc w:val="left"/>
              <w:rPr>
                <w:rFonts w:cs="Times New Roman"/>
              </w:rPr>
            </w:pPr>
            <w:r>
              <w:rPr>
                <w:rFonts w:cs="Times New Roman"/>
                <w:lang w:val="en-US"/>
              </w:rPr>
              <w:t>A13决策执行监督制衡机制</w:t>
            </w:r>
          </w:p>
        </w:tc>
        <w:tc>
          <w:tcPr>
            <w:tcW w:w="355" w:type="pct"/>
            <w:tcMar>
              <w:top w:w="15" w:type="dxa"/>
              <w:left w:w="15" w:type="dxa"/>
              <w:right w:w="15" w:type="dxa"/>
            </w:tcMar>
            <w:vAlign w:val="center"/>
          </w:tcPr>
          <w:p w14:paraId="2B689322">
            <w:pPr>
              <w:pStyle w:val="21"/>
              <w:spacing w:line="240" w:lineRule="auto"/>
              <w:rPr>
                <w:rFonts w:cs="Times New Roman"/>
              </w:rPr>
            </w:pPr>
            <w:r>
              <w:rPr>
                <w:rFonts w:cs="Times New Roman"/>
                <w:lang w:val="en-US"/>
              </w:rPr>
              <w:t>完善</w:t>
            </w:r>
          </w:p>
        </w:tc>
        <w:tc>
          <w:tcPr>
            <w:tcW w:w="229" w:type="pct"/>
            <w:tcMar>
              <w:top w:w="15" w:type="dxa"/>
              <w:left w:w="15" w:type="dxa"/>
              <w:right w:w="15" w:type="dxa"/>
            </w:tcMar>
            <w:vAlign w:val="center"/>
          </w:tcPr>
          <w:p w14:paraId="057160EF">
            <w:pPr>
              <w:pStyle w:val="21"/>
              <w:spacing w:line="240" w:lineRule="auto"/>
              <w:rPr>
                <w:rFonts w:cs="Times New Roman"/>
              </w:rPr>
            </w:pPr>
            <w:r>
              <w:rPr>
                <w:rFonts w:cs="Times New Roman"/>
                <w:lang w:val="en-US"/>
              </w:rPr>
              <w:t>1</w:t>
            </w:r>
          </w:p>
        </w:tc>
        <w:tc>
          <w:tcPr>
            <w:tcW w:w="1020" w:type="pct"/>
            <w:tcMar>
              <w:top w:w="15" w:type="dxa"/>
              <w:left w:w="15" w:type="dxa"/>
              <w:right w:w="15" w:type="dxa"/>
            </w:tcMar>
            <w:vAlign w:val="center"/>
          </w:tcPr>
          <w:p w14:paraId="09CD8AA0">
            <w:pPr>
              <w:pStyle w:val="21"/>
              <w:spacing w:line="240" w:lineRule="auto"/>
              <w:jc w:val="left"/>
              <w:rPr>
                <w:rFonts w:cs="Times New Roman"/>
              </w:rPr>
            </w:pPr>
            <w:r>
              <w:rPr>
                <w:rFonts w:cs="Times New Roman"/>
                <w:lang w:val="en-US"/>
              </w:rPr>
              <w:t>考察部门决策执行是否有相应的监督制衡机制。</w:t>
            </w:r>
          </w:p>
        </w:tc>
        <w:tc>
          <w:tcPr>
            <w:tcW w:w="1236" w:type="pct"/>
            <w:tcMar>
              <w:top w:w="15" w:type="dxa"/>
              <w:left w:w="15" w:type="dxa"/>
              <w:right w:w="15" w:type="dxa"/>
            </w:tcMar>
            <w:vAlign w:val="center"/>
          </w:tcPr>
          <w:p w14:paraId="6710BA0D">
            <w:pPr>
              <w:pStyle w:val="21"/>
              <w:spacing w:line="240" w:lineRule="auto"/>
              <w:jc w:val="left"/>
              <w:rPr>
                <w:rFonts w:cs="Times New Roman"/>
              </w:rPr>
            </w:pPr>
            <w:r>
              <w:rPr>
                <w:rFonts w:hint="eastAsia" w:ascii="宋体" w:hAnsi="宋体" w:eastAsia="宋体"/>
                <w:lang w:val="en-US"/>
              </w:rPr>
              <w:t>①</w:t>
            </w:r>
            <w:r>
              <w:rPr>
                <w:rFonts w:cs="Times New Roman"/>
                <w:lang w:val="en-US"/>
              </w:rPr>
              <w:t>部门决策有相应的监督制衡机制；</w:t>
            </w:r>
            <w:r>
              <w:rPr>
                <w:rFonts w:hint="eastAsia" w:ascii="宋体" w:hAnsi="宋体" w:eastAsia="宋体"/>
                <w:lang w:val="en-US"/>
              </w:rPr>
              <w:t>②</w:t>
            </w:r>
            <w:r>
              <w:rPr>
                <w:rFonts w:cs="Times New Roman"/>
                <w:lang w:val="en-US"/>
              </w:rPr>
              <w:t>监督制衡机制明确有效。以上2项符合条件得分，否则不得分。</w:t>
            </w:r>
          </w:p>
        </w:tc>
        <w:tc>
          <w:tcPr>
            <w:tcW w:w="340" w:type="pct"/>
            <w:tcMar>
              <w:top w:w="15" w:type="dxa"/>
              <w:left w:w="15" w:type="dxa"/>
              <w:right w:w="15" w:type="dxa"/>
            </w:tcMar>
            <w:vAlign w:val="center"/>
          </w:tcPr>
          <w:p w14:paraId="0D106F87">
            <w:pPr>
              <w:pStyle w:val="21"/>
              <w:spacing w:line="240" w:lineRule="auto"/>
              <w:rPr>
                <w:rFonts w:eastAsia="宋体" w:cs="Times New Roman"/>
                <w:lang w:val="en-US"/>
              </w:rPr>
            </w:pPr>
            <w:r>
              <w:rPr>
                <w:rFonts w:cs="Times New Roman"/>
                <w:lang w:val="en-US"/>
              </w:rPr>
              <w:t>完善</w:t>
            </w:r>
          </w:p>
        </w:tc>
        <w:tc>
          <w:tcPr>
            <w:tcW w:w="319" w:type="pct"/>
            <w:tcMar>
              <w:top w:w="15" w:type="dxa"/>
              <w:left w:w="15" w:type="dxa"/>
              <w:right w:w="15" w:type="dxa"/>
            </w:tcMar>
            <w:vAlign w:val="center"/>
          </w:tcPr>
          <w:p w14:paraId="328DB7B8">
            <w:pPr>
              <w:pStyle w:val="21"/>
              <w:spacing w:line="240" w:lineRule="auto"/>
              <w:rPr>
                <w:rFonts w:eastAsia="宋体" w:cs="Times New Roman"/>
                <w:lang w:val="en-US"/>
              </w:rPr>
            </w:pPr>
            <w:r>
              <w:rPr>
                <w:rFonts w:eastAsia="宋体" w:cs="Times New Roman"/>
                <w:lang w:val="en-US"/>
              </w:rPr>
              <w:t>1</w:t>
            </w:r>
          </w:p>
        </w:tc>
        <w:tc>
          <w:tcPr>
            <w:tcW w:w="319" w:type="pct"/>
            <w:tcMar>
              <w:top w:w="15" w:type="dxa"/>
              <w:left w:w="15" w:type="dxa"/>
              <w:right w:w="15" w:type="dxa"/>
            </w:tcMar>
            <w:vAlign w:val="center"/>
          </w:tcPr>
          <w:p w14:paraId="2404E87C">
            <w:pPr>
              <w:pStyle w:val="21"/>
              <w:spacing w:line="240" w:lineRule="auto"/>
              <w:rPr>
                <w:rFonts w:eastAsia="宋体" w:cs="Times New Roman"/>
                <w:lang w:val="en-US"/>
              </w:rPr>
            </w:pPr>
          </w:p>
        </w:tc>
      </w:tr>
      <w:tr w14:paraId="0FDF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27AE47E7">
            <w:pPr>
              <w:pStyle w:val="21"/>
              <w:spacing w:line="240" w:lineRule="auto"/>
              <w:jc w:val="left"/>
              <w:rPr>
                <w:rFonts w:cs="Times New Roman"/>
              </w:rPr>
            </w:pPr>
          </w:p>
        </w:tc>
        <w:tc>
          <w:tcPr>
            <w:tcW w:w="379" w:type="pct"/>
            <w:vMerge w:val="restart"/>
            <w:tcMar>
              <w:top w:w="15" w:type="dxa"/>
              <w:left w:w="15" w:type="dxa"/>
              <w:right w:w="15" w:type="dxa"/>
            </w:tcMar>
            <w:vAlign w:val="center"/>
          </w:tcPr>
          <w:p w14:paraId="69DF4397">
            <w:pPr>
              <w:pStyle w:val="21"/>
              <w:spacing w:line="240" w:lineRule="auto"/>
              <w:jc w:val="left"/>
              <w:rPr>
                <w:rFonts w:cs="Times New Roman"/>
              </w:rPr>
            </w:pPr>
            <w:r>
              <w:rPr>
                <w:rFonts w:cs="Times New Roman"/>
                <w:lang w:val="en-US"/>
              </w:rPr>
              <w:t>A2中长期规划</w:t>
            </w:r>
          </w:p>
        </w:tc>
        <w:tc>
          <w:tcPr>
            <w:tcW w:w="502" w:type="pct"/>
            <w:tcMar>
              <w:top w:w="15" w:type="dxa"/>
              <w:left w:w="15" w:type="dxa"/>
              <w:right w:w="15" w:type="dxa"/>
            </w:tcMar>
            <w:vAlign w:val="center"/>
          </w:tcPr>
          <w:p w14:paraId="7E5B5D5F">
            <w:pPr>
              <w:pStyle w:val="21"/>
              <w:spacing w:line="240" w:lineRule="auto"/>
              <w:jc w:val="left"/>
              <w:rPr>
                <w:rFonts w:cs="Times New Roman"/>
              </w:rPr>
            </w:pPr>
            <w:r>
              <w:rPr>
                <w:rFonts w:cs="Times New Roman"/>
                <w:lang w:val="en-US"/>
              </w:rPr>
              <w:t>A21中长期规划明确性</w:t>
            </w:r>
          </w:p>
        </w:tc>
        <w:tc>
          <w:tcPr>
            <w:tcW w:w="355" w:type="pct"/>
            <w:tcMar>
              <w:top w:w="15" w:type="dxa"/>
              <w:left w:w="15" w:type="dxa"/>
              <w:right w:w="15" w:type="dxa"/>
            </w:tcMar>
            <w:vAlign w:val="center"/>
          </w:tcPr>
          <w:p w14:paraId="68C7B820">
            <w:pPr>
              <w:pStyle w:val="21"/>
              <w:spacing w:line="240" w:lineRule="auto"/>
              <w:rPr>
                <w:rFonts w:cs="Times New Roman"/>
              </w:rPr>
            </w:pPr>
            <w:r>
              <w:rPr>
                <w:rFonts w:cs="Times New Roman"/>
                <w:lang w:val="en-US"/>
              </w:rPr>
              <w:t>明确</w:t>
            </w:r>
          </w:p>
        </w:tc>
        <w:tc>
          <w:tcPr>
            <w:tcW w:w="229" w:type="pct"/>
            <w:tcMar>
              <w:top w:w="15" w:type="dxa"/>
              <w:left w:w="15" w:type="dxa"/>
              <w:right w:w="15" w:type="dxa"/>
            </w:tcMar>
            <w:vAlign w:val="center"/>
          </w:tcPr>
          <w:p w14:paraId="1A7C85AE">
            <w:pPr>
              <w:pStyle w:val="21"/>
              <w:spacing w:line="240" w:lineRule="auto"/>
              <w:rPr>
                <w:rFonts w:cs="Times New Roman"/>
              </w:rPr>
            </w:pPr>
            <w:r>
              <w:rPr>
                <w:rFonts w:cs="Times New Roman"/>
                <w:lang w:val="en-US"/>
              </w:rPr>
              <w:t>2</w:t>
            </w:r>
          </w:p>
        </w:tc>
        <w:tc>
          <w:tcPr>
            <w:tcW w:w="1020" w:type="pct"/>
            <w:noWrap/>
            <w:tcMar>
              <w:top w:w="15" w:type="dxa"/>
              <w:left w:w="15" w:type="dxa"/>
              <w:right w:w="15" w:type="dxa"/>
            </w:tcMar>
            <w:vAlign w:val="center"/>
          </w:tcPr>
          <w:p w14:paraId="5E76EB04">
            <w:pPr>
              <w:pStyle w:val="21"/>
              <w:spacing w:line="240" w:lineRule="auto"/>
              <w:jc w:val="left"/>
              <w:rPr>
                <w:rFonts w:cs="Times New Roman"/>
              </w:rPr>
            </w:pPr>
            <w:r>
              <w:rPr>
                <w:rFonts w:cs="Times New Roman"/>
                <w:lang w:val="en-US"/>
              </w:rPr>
              <w:t>考察部门是否具有明确的中长期规划。</w:t>
            </w:r>
          </w:p>
        </w:tc>
        <w:tc>
          <w:tcPr>
            <w:tcW w:w="1236" w:type="pct"/>
            <w:noWrap/>
            <w:tcMar>
              <w:top w:w="15" w:type="dxa"/>
              <w:left w:w="15" w:type="dxa"/>
              <w:right w:w="15" w:type="dxa"/>
            </w:tcMar>
            <w:vAlign w:val="center"/>
          </w:tcPr>
          <w:p w14:paraId="16DBE6B0">
            <w:pPr>
              <w:pStyle w:val="21"/>
              <w:spacing w:line="240" w:lineRule="auto"/>
              <w:jc w:val="left"/>
              <w:rPr>
                <w:rFonts w:cs="Times New Roman"/>
              </w:rPr>
            </w:pPr>
            <w:r>
              <w:rPr>
                <w:rFonts w:hint="eastAsia" w:ascii="宋体" w:hAnsi="宋体" w:eastAsia="宋体"/>
                <w:lang w:val="en-US"/>
              </w:rPr>
              <w:t>①</w:t>
            </w:r>
            <w:r>
              <w:rPr>
                <w:rFonts w:cs="Times New Roman"/>
                <w:lang w:val="en-US"/>
              </w:rPr>
              <w:t>部门是否具有中长期规划；</w:t>
            </w:r>
            <w:r>
              <w:rPr>
                <w:rFonts w:hint="eastAsia" w:ascii="宋体" w:hAnsi="宋体" w:eastAsia="宋体"/>
                <w:lang w:val="en-US"/>
              </w:rPr>
              <w:t>②</w:t>
            </w:r>
            <w:r>
              <w:rPr>
                <w:rFonts w:cs="Times New Roman"/>
                <w:lang w:val="en-US"/>
              </w:rPr>
              <w:t>规划是否对总体目标、规划实施内容、时间安排有明确安排。以上2项各占1/2权重分，符合得对应权重分，否则不得分。</w:t>
            </w:r>
          </w:p>
        </w:tc>
        <w:tc>
          <w:tcPr>
            <w:tcW w:w="340" w:type="pct"/>
            <w:noWrap/>
            <w:tcMar>
              <w:top w:w="15" w:type="dxa"/>
              <w:left w:w="15" w:type="dxa"/>
              <w:right w:w="15" w:type="dxa"/>
            </w:tcMar>
            <w:vAlign w:val="center"/>
          </w:tcPr>
          <w:p w14:paraId="6ED61BAD">
            <w:pPr>
              <w:pStyle w:val="21"/>
              <w:spacing w:line="240" w:lineRule="auto"/>
              <w:rPr>
                <w:rFonts w:eastAsia="宋体" w:cs="Times New Roman"/>
                <w:lang w:val="en-US"/>
              </w:rPr>
            </w:pPr>
            <w:r>
              <w:rPr>
                <w:rFonts w:cs="Times New Roman"/>
                <w:lang w:val="en-US"/>
              </w:rPr>
              <w:t>明确</w:t>
            </w:r>
          </w:p>
        </w:tc>
        <w:tc>
          <w:tcPr>
            <w:tcW w:w="319" w:type="pct"/>
            <w:noWrap/>
            <w:tcMar>
              <w:top w:w="15" w:type="dxa"/>
              <w:left w:w="15" w:type="dxa"/>
              <w:right w:w="15" w:type="dxa"/>
            </w:tcMar>
            <w:vAlign w:val="center"/>
          </w:tcPr>
          <w:p w14:paraId="19D5741D">
            <w:pPr>
              <w:pStyle w:val="21"/>
              <w:spacing w:line="240" w:lineRule="auto"/>
              <w:rPr>
                <w:rFonts w:eastAsia="宋体" w:cs="Times New Roman"/>
                <w:lang w:val="en-US"/>
              </w:rPr>
            </w:pPr>
            <w:r>
              <w:rPr>
                <w:rFonts w:eastAsia="宋体" w:cs="Times New Roman"/>
                <w:lang w:val="en-US"/>
              </w:rPr>
              <w:t>2</w:t>
            </w:r>
          </w:p>
        </w:tc>
        <w:tc>
          <w:tcPr>
            <w:tcW w:w="319" w:type="pct"/>
            <w:noWrap/>
            <w:tcMar>
              <w:top w:w="15" w:type="dxa"/>
              <w:left w:w="15" w:type="dxa"/>
              <w:right w:w="15" w:type="dxa"/>
            </w:tcMar>
            <w:vAlign w:val="center"/>
          </w:tcPr>
          <w:p w14:paraId="065C32B3">
            <w:pPr>
              <w:pStyle w:val="21"/>
              <w:spacing w:line="240" w:lineRule="auto"/>
              <w:rPr>
                <w:rFonts w:eastAsia="宋体" w:cs="Times New Roman"/>
                <w:lang w:val="en-US"/>
              </w:rPr>
            </w:pPr>
          </w:p>
        </w:tc>
      </w:tr>
      <w:tr w14:paraId="124E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42C9D14B">
            <w:pPr>
              <w:pStyle w:val="21"/>
              <w:spacing w:line="240" w:lineRule="auto"/>
              <w:jc w:val="left"/>
              <w:rPr>
                <w:rFonts w:cs="Times New Roman"/>
              </w:rPr>
            </w:pPr>
          </w:p>
        </w:tc>
        <w:tc>
          <w:tcPr>
            <w:tcW w:w="379" w:type="pct"/>
            <w:vMerge w:val="continue"/>
            <w:tcMar>
              <w:top w:w="15" w:type="dxa"/>
              <w:left w:w="15" w:type="dxa"/>
              <w:right w:w="15" w:type="dxa"/>
            </w:tcMar>
            <w:vAlign w:val="center"/>
          </w:tcPr>
          <w:p w14:paraId="1CFE95B4">
            <w:pPr>
              <w:pStyle w:val="21"/>
              <w:spacing w:line="240" w:lineRule="auto"/>
              <w:jc w:val="left"/>
              <w:rPr>
                <w:rFonts w:cs="Times New Roman"/>
              </w:rPr>
            </w:pPr>
          </w:p>
        </w:tc>
        <w:tc>
          <w:tcPr>
            <w:tcW w:w="502" w:type="pct"/>
            <w:tcMar>
              <w:top w:w="15" w:type="dxa"/>
              <w:left w:w="15" w:type="dxa"/>
              <w:right w:w="15" w:type="dxa"/>
            </w:tcMar>
            <w:vAlign w:val="center"/>
          </w:tcPr>
          <w:p w14:paraId="37CF6781">
            <w:pPr>
              <w:pStyle w:val="21"/>
              <w:spacing w:line="240" w:lineRule="auto"/>
              <w:jc w:val="left"/>
              <w:rPr>
                <w:rFonts w:cs="Times New Roman"/>
              </w:rPr>
            </w:pPr>
            <w:r>
              <w:rPr>
                <w:rFonts w:cs="Times New Roman"/>
                <w:lang w:val="en-US"/>
              </w:rPr>
              <w:t>A22中长期规划与部门职能的匹配性</w:t>
            </w:r>
          </w:p>
        </w:tc>
        <w:tc>
          <w:tcPr>
            <w:tcW w:w="355" w:type="pct"/>
            <w:tcMar>
              <w:top w:w="15" w:type="dxa"/>
              <w:left w:w="15" w:type="dxa"/>
              <w:right w:w="15" w:type="dxa"/>
            </w:tcMar>
            <w:vAlign w:val="center"/>
          </w:tcPr>
          <w:p w14:paraId="7A79C069">
            <w:pPr>
              <w:pStyle w:val="21"/>
              <w:spacing w:line="240" w:lineRule="auto"/>
              <w:rPr>
                <w:rFonts w:cs="Times New Roman"/>
              </w:rPr>
            </w:pPr>
            <w:r>
              <w:rPr>
                <w:rFonts w:cs="Times New Roman"/>
                <w:lang w:val="en-US"/>
              </w:rPr>
              <w:t>匹配</w:t>
            </w:r>
          </w:p>
        </w:tc>
        <w:tc>
          <w:tcPr>
            <w:tcW w:w="229" w:type="pct"/>
            <w:tcMar>
              <w:top w:w="15" w:type="dxa"/>
              <w:left w:w="15" w:type="dxa"/>
              <w:right w:w="15" w:type="dxa"/>
            </w:tcMar>
            <w:vAlign w:val="center"/>
          </w:tcPr>
          <w:p w14:paraId="5BEB730E">
            <w:pPr>
              <w:pStyle w:val="21"/>
              <w:spacing w:line="240" w:lineRule="auto"/>
              <w:rPr>
                <w:rFonts w:cs="Times New Roman"/>
              </w:rPr>
            </w:pPr>
            <w:r>
              <w:rPr>
                <w:rFonts w:cs="Times New Roman"/>
                <w:lang w:val="en-US"/>
              </w:rPr>
              <w:t>2</w:t>
            </w:r>
          </w:p>
        </w:tc>
        <w:tc>
          <w:tcPr>
            <w:tcW w:w="1020" w:type="pct"/>
            <w:noWrap/>
            <w:tcMar>
              <w:top w:w="15" w:type="dxa"/>
              <w:left w:w="15" w:type="dxa"/>
              <w:right w:w="15" w:type="dxa"/>
            </w:tcMar>
            <w:vAlign w:val="center"/>
          </w:tcPr>
          <w:p w14:paraId="2E4456EE">
            <w:pPr>
              <w:pStyle w:val="21"/>
              <w:spacing w:line="240" w:lineRule="auto"/>
              <w:jc w:val="left"/>
              <w:rPr>
                <w:rFonts w:cs="Times New Roman"/>
              </w:rPr>
            </w:pPr>
            <w:r>
              <w:rPr>
                <w:rFonts w:cs="Times New Roman"/>
                <w:lang w:val="en-US"/>
              </w:rPr>
              <w:t>考察部门中长期规划是否与部门职能相匹配。</w:t>
            </w:r>
          </w:p>
        </w:tc>
        <w:tc>
          <w:tcPr>
            <w:tcW w:w="1236" w:type="pct"/>
            <w:noWrap/>
            <w:tcMar>
              <w:top w:w="15" w:type="dxa"/>
              <w:left w:w="15" w:type="dxa"/>
              <w:right w:w="15" w:type="dxa"/>
            </w:tcMar>
            <w:vAlign w:val="center"/>
          </w:tcPr>
          <w:p w14:paraId="75624F6C">
            <w:pPr>
              <w:pStyle w:val="21"/>
              <w:spacing w:line="240" w:lineRule="auto"/>
              <w:jc w:val="left"/>
              <w:rPr>
                <w:rFonts w:cs="Times New Roman"/>
                <w:lang w:val="en-US"/>
              </w:rPr>
            </w:pPr>
            <w:r>
              <w:rPr>
                <w:rFonts w:cs="Times New Roman"/>
                <w:lang w:val="en-US"/>
              </w:rPr>
              <w:t>部门中长期规划中的各项规划是否均符合部门职能。符合条件得分，否则每有一项不符合扣10%权重分，扣完为止。</w:t>
            </w:r>
          </w:p>
        </w:tc>
        <w:tc>
          <w:tcPr>
            <w:tcW w:w="340" w:type="pct"/>
            <w:noWrap/>
            <w:tcMar>
              <w:top w:w="15" w:type="dxa"/>
              <w:left w:w="15" w:type="dxa"/>
              <w:right w:w="15" w:type="dxa"/>
            </w:tcMar>
            <w:vAlign w:val="center"/>
          </w:tcPr>
          <w:p w14:paraId="67B8DB24">
            <w:pPr>
              <w:pStyle w:val="21"/>
              <w:spacing w:line="240" w:lineRule="auto"/>
              <w:rPr>
                <w:rFonts w:cs="Times New Roman"/>
                <w:lang w:val="en-US"/>
              </w:rPr>
            </w:pPr>
            <w:r>
              <w:rPr>
                <w:rFonts w:cs="Times New Roman"/>
                <w:lang w:val="en-US"/>
              </w:rPr>
              <w:t>匹配</w:t>
            </w:r>
          </w:p>
        </w:tc>
        <w:tc>
          <w:tcPr>
            <w:tcW w:w="319" w:type="pct"/>
            <w:noWrap/>
            <w:tcMar>
              <w:top w:w="15" w:type="dxa"/>
              <w:left w:w="15" w:type="dxa"/>
              <w:right w:w="15" w:type="dxa"/>
            </w:tcMar>
            <w:vAlign w:val="center"/>
          </w:tcPr>
          <w:p w14:paraId="031DE29A">
            <w:pPr>
              <w:pStyle w:val="21"/>
              <w:spacing w:line="240" w:lineRule="auto"/>
              <w:rPr>
                <w:rFonts w:cs="Times New Roman"/>
                <w:lang w:val="en-US"/>
              </w:rPr>
            </w:pPr>
            <w:r>
              <w:rPr>
                <w:rFonts w:cs="Times New Roman"/>
                <w:lang w:val="en-US"/>
              </w:rPr>
              <w:t>2</w:t>
            </w:r>
          </w:p>
        </w:tc>
        <w:tc>
          <w:tcPr>
            <w:tcW w:w="319" w:type="pct"/>
            <w:noWrap/>
            <w:tcMar>
              <w:top w:w="15" w:type="dxa"/>
              <w:left w:w="15" w:type="dxa"/>
              <w:right w:w="15" w:type="dxa"/>
            </w:tcMar>
            <w:vAlign w:val="center"/>
          </w:tcPr>
          <w:p w14:paraId="6165FA94">
            <w:pPr>
              <w:pStyle w:val="21"/>
              <w:spacing w:line="240" w:lineRule="auto"/>
              <w:rPr>
                <w:rFonts w:cs="Times New Roman"/>
                <w:lang w:val="en-US"/>
              </w:rPr>
            </w:pPr>
          </w:p>
        </w:tc>
      </w:tr>
      <w:tr w14:paraId="25AE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95" w:type="pct"/>
            <w:vMerge w:val="continue"/>
            <w:tcMar>
              <w:top w:w="15" w:type="dxa"/>
              <w:left w:w="15" w:type="dxa"/>
              <w:right w:w="15" w:type="dxa"/>
            </w:tcMar>
            <w:vAlign w:val="center"/>
          </w:tcPr>
          <w:p w14:paraId="68AFEA4A">
            <w:pPr>
              <w:pStyle w:val="21"/>
              <w:spacing w:line="240" w:lineRule="auto"/>
              <w:jc w:val="left"/>
              <w:rPr>
                <w:rFonts w:cs="Times New Roman"/>
              </w:rPr>
            </w:pPr>
          </w:p>
        </w:tc>
        <w:tc>
          <w:tcPr>
            <w:tcW w:w="379" w:type="pct"/>
            <w:vMerge w:val="restart"/>
            <w:tcMar>
              <w:top w:w="15" w:type="dxa"/>
              <w:left w:w="15" w:type="dxa"/>
              <w:right w:w="15" w:type="dxa"/>
            </w:tcMar>
            <w:vAlign w:val="center"/>
          </w:tcPr>
          <w:p w14:paraId="24A972DC">
            <w:pPr>
              <w:pStyle w:val="21"/>
              <w:spacing w:line="240" w:lineRule="auto"/>
              <w:jc w:val="left"/>
              <w:rPr>
                <w:rFonts w:cs="Times New Roman"/>
              </w:rPr>
            </w:pPr>
            <w:r>
              <w:rPr>
                <w:rFonts w:cs="Times New Roman"/>
                <w:lang w:val="en-US"/>
              </w:rPr>
              <w:t>A3年度工作计划</w:t>
            </w:r>
          </w:p>
        </w:tc>
        <w:tc>
          <w:tcPr>
            <w:tcW w:w="502" w:type="pct"/>
            <w:tcMar>
              <w:top w:w="15" w:type="dxa"/>
              <w:left w:w="15" w:type="dxa"/>
              <w:right w:w="15" w:type="dxa"/>
            </w:tcMar>
            <w:vAlign w:val="center"/>
          </w:tcPr>
          <w:p w14:paraId="67244798">
            <w:pPr>
              <w:pStyle w:val="21"/>
              <w:spacing w:line="240" w:lineRule="auto"/>
              <w:jc w:val="left"/>
              <w:rPr>
                <w:rFonts w:cs="Times New Roman"/>
              </w:rPr>
            </w:pPr>
            <w:r>
              <w:rPr>
                <w:rFonts w:cs="Times New Roman"/>
                <w:lang w:val="en-US"/>
              </w:rPr>
              <w:t>A31年度工作计划明确性</w:t>
            </w:r>
          </w:p>
        </w:tc>
        <w:tc>
          <w:tcPr>
            <w:tcW w:w="355" w:type="pct"/>
            <w:tcMar>
              <w:top w:w="15" w:type="dxa"/>
              <w:left w:w="15" w:type="dxa"/>
              <w:right w:w="15" w:type="dxa"/>
            </w:tcMar>
            <w:vAlign w:val="center"/>
          </w:tcPr>
          <w:p w14:paraId="4EE97786">
            <w:pPr>
              <w:pStyle w:val="21"/>
              <w:spacing w:line="240" w:lineRule="auto"/>
              <w:rPr>
                <w:rFonts w:cs="Times New Roman"/>
              </w:rPr>
            </w:pPr>
            <w:r>
              <w:rPr>
                <w:rFonts w:cs="Times New Roman"/>
                <w:lang w:val="en-US"/>
              </w:rPr>
              <w:t>明确</w:t>
            </w:r>
          </w:p>
        </w:tc>
        <w:tc>
          <w:tcPr>
            <w:tcW w:w="229" w:type="pct"/>
            <w:tcMar>
              <w:top w:w="15" w:type="dxa"/>
              <w:left w:w="15" w:type="dxa"/>
              <w:right w:w="15" w:type="dxa"/>
            </w:tcMar>
            <w:vAlign w:val="center"/>
          </w:tcPr>
          <w:p w14:paraId="2DBDBE99">
            <w:pPr>
              <w:pStyle w:val="21"/>
              <w:spacing w:line="240" w:lineRule="auto"/>
              <w:rPr>
                <w:rFonts w:cs="Times New Roman"/>
              </w:rPr>
            </w:pPr>
            <w:r>
              <w:rPr>
                <w:rFonts w:cs="Times New Roman"/>
                <w:lang w:val="en-US"/>
              </w:rPr>
              <w:t>2</w:t>
            </w:r>
          </w:p>
        </w:tc>
        <w:tc>
          <w:tcPr>
            <w:tcW w:w="1020" w:type="pct"/>
            <w:noWrap/>
            <w:tcMar>
              <w:top w:w="15" w:type="dxa"/>
              <w:left w:w="15" w:type="dxa"/>
              <w:right w:w="15" w:type="dxa"/>
            </w:tcMar>
            <w:vAlign w:val="center"/>
          </w:tcPr>
          <w:p w14:paraId="528230AB">
            <w:pPr>
              <w:pStyle w:val="21"/>
              <w:spacing w:line="240" w:lineRule="auto"/>
              <w:jc w:val="left"/>
              <w:rPr>
                <w:rFonts w:cs="Times New Roman"/>
              </w:rPr>
            </w:pPr>
            <w:r>
              <w:rPr>
                <w:rFonts w:cs="Times New Roman"/>
                <w:lang w:val="en-US"/>
              </w:rPr>
              <w:t>考察部门是否具有明确的年度工作计划。</w:t>
            </w:r>
          </w:p>
        </w:tc>
        <w:tc>
          <w:tcPr>
            <w:tcW w:w="1236" w:type="pct"/>
            <w:noWrap/>
            <w:tcMar>
              <w:top w:w="15" w:type="dxa"/>
              <w:left w:w="15" w:type="dxa"/>
              <w:right w:w="15" w:type="dxa"/>
            </w:tcMar>
            <w:vAlign w:val="center"/>
          </w:tcPr>
          <w:p w14:paraId="3B3C1256">
            <w:pPr>
              <w:pStyle w:val="21"/>
              <w:spacing w:line="240" w:lineRule="auto"/>
              <w:jc w:val="left"/>
              <w:rPr>
                <w:rFonts w:cs="Times New Roman"/>
              </w:rPr>
            </w:pPr>
            <w:r>
              <w:rPr>
                <w:rFonts w:hint="eastAsia" w:ascii="宋体" w:hAnsi="宋体" w:eastAsia="宋体"/>
                <w:highlight w:val="none"/>
                <w:lang w:val="en-US"/>
              </w:rPr>
              <w:t>①</w:t>
            </w:r>
            <w:r>
              <w:rPr>
                <w:rFonts w:cs="Times New Roman"/>
                <w:highlight w:val="none"/>
                <w:lang w:val="en-US"/>
              </w:rPr>
              <w:t>是否制定年度工作计划；</w:t>
            </w:r>
            <w:r>
              <w:rPr>
                <w:rFonts w:hint="eastAsia" w:ascii="宋体" w:hAnsi="宋体" w:eastAsia="宋体"/>
                <w:highlight w:val="none"/>
                <w:lang w:val="en-US"/>
              </w:rPr>
              <w:t>②</w:t>
            </w:r>
            <w:r>
              <w:rPr>
                <w:rFonts w:cs="Times New Roman"/>
                <w:highlight w:val="none"/>
                <w:lang w:val="en-US"/>
              </w:rPr>
              <w:t>年度计划是否有明确的时间安排；</w:t>
            </w:r>
            <w:r>
              <w:rPr>
                <w:rFonts w:hint="eastAsia" w:ascii="宋体" w:hAnsi="宋体" w:eastAsia="宋体"/>
                <w:highlight w:val="none"/>
                <w:lang w:val="en-US"/>
              </w:rPr>
              <w:t>③</w:t>
            </w:r>
            <w:r>
              <w:rPr>
                <w:rFonts w:cs="Times New Roman"/>
                <w:highlight w:val="none"/>
                <w:lang w:val="en-US"/>
              </w:rPr>
              <w:t>年度计划是否有明确的人员安排；</w:t>
            </w:r>
            <w:r>
              <w:rPr>
                <w:rFonts w:hint="eastAsia" w:ascii="宋体" w:hAnsi="宋体" w:eastAsia="宋体"/>
                <w:highlight w:val="none"/>
                <w:lang w:val="en-US"/>
              </w:rPr>
              <w:t>④</w:t>
            </w:r>
            <w:r>
              <w:rPr>
                <w:rFonts w:cs="Times New Roman"/>
                <w:highlight w:val="none"/>
                <w:lang w:val="en-US"/>
              </w:rPr>
              <w:t>年度计划是否有明确的资金安排。以上4项各占1/4权重分，符合得对应权重分，否则不得分。</w:t>
            </w:r>
          </w:p>
        </w:tc>
        <w:tc>
          <w:tcPr>
            <w:tcW w:w="340" w:type="pct"/>
            <w:noWrap/>
            <w:tcMar>
              <w:top w:w="15" w:type="dxa"/>
              <w:left w:w="15" w:type="dxa"/>
              <w:right w:w="15" w:type="dxa"/>
            </w:tcMar>
            <w:vAlign w:val="center"/>
          </w:tcPr>
          <w:p w14:paraId="0063BDC3">
            <w:pPr>
              <w:pStyle w:val="21"/>
              <w:spacing w:line="240" w:lineRule="auto"/>
              <w:rPr>
                <w:rFonts w:hint="eastAsia" w:eastAsia="宋体" w:cs="Times New Roman"/>
                <w:lang w:val="en-US" w:eastAsia="zh-CN"/>
              </w:rPr>
            </w:pPr>
            <w:r>
              <w:rPr>
                <w:rFonts w:cs="Times New Roman"/>
                <w:lang w:val="en-US"/>
              </w:rPr>
              <w:t>明确</w:t>
            </w:r>
          </w:p>
        </w:tc>
        <w:tc>
          <w:tcPr>
            <w:tcW w:w="319" w:type="pct"/>
            <w:noWrap/>
            <w:tcMar>
              <w:top w:w="15" w:type="dxa"/>
              <w:left w:w="15" w:type="dxa"/>
              <w:right w:w="15" w:type="dxa"/>
            </w:tcMar>
            <w:vAlign w:val="center"/>
          </w:tcPr>
          <w:p w14:paraId="1A716A90">
            <w:pPr>
              <w:pStyle w:val="21"/>
              <w:spacing w:line="240" w:lineRule="auto"/>
              <w:rPr>
                <w:rFonts w:hint="eastAsia" w:eastAsia="宋体" w:cs="Times New Roman"/>
                <w:lang w:val="en-US" w:eastAsia="zh-CN"/>
              </w:rPr>
            </w:pPr>
            <w:r>
              <w:rPr>
                <w:rFonts w:hint="eastAsia" w:eastAsia="宋体" w:cs="Times New Roman"/>
                <w:lang w:val="en-US" w:eastAsia="zh-CN"/>
              </w:rPr>
              <w:t>1</w:t>
            </w:r>
          </w:p>
        </w:tc>
        <w:tc>
          <w:tcPr>
            <w:tcW w:w="319" w:type="pct"/>
            <w:noWrap/>
            <w:tcMar>
              <w:top w:w="15" w:type="dxa"/>
              <w:left w:w="15" w:type="dxa"/>
              <w:right w:w="15" w:type="dxa"/>
            </w:tcMar>
            <w:vAlign w:val="center"/>
          </w:tcPr>
          <w:p w14:paraId="5E784585">
            <w:pPr>
              <w:pStyle w:val="21"/>
              <w:spacing w:line="240" w:lineRule="auto"/>
              <w:jc w:val="left"/>
              <w:rPr>
                <w:rFonts w:hint="default" w:eastAsia="宋体" w:cs="Times New Roman"/>
                <w:lang w:val="en-US" w:eastAsia="zh-CN"/>
              </w:rPr>
            </w:pPr>
            <w:r>
              <w:rPr>
                <w:rFonts w:hint="eastAsia" w:cs="Times New Roman"/>
                <w:highlight w:val="none"/>
                <w:lang w:val="en-US" w:eastAsia="zh-CN"/>
              </w:rPr>
              <w:t>年度计划资金和人员安排未明确</w:t>
            </w:r>
          </w:p>
        </w:tc>
      </w:tr>
      <w:tr w14:paraId="5C85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4699FDCF">
            <w:pPr>
              <w:pStyle w:val="21"/>
              <w:spacing w:line="240" w:lineRule="auto"/>
              <w:jc w:val="left"/>
              <w:rPr>
                <w:rFonts w:cs="Times New Roman"/>
              </w:rPr>
            </w:pPr>
          </w:p>
        </w:tc>
        <w:tc>
          <w:tcPr>
            <w:tcW w:w="379" w:type="pct"/>
            <w:vMerge w:val="continue"/>
            <w:tcMar>
              <w:top w:w="15" w:type="dxa"/>
              <w:left w:w="15" w:type="dxa"/>
              <w:right w:w="15" w:type="dxa"/>
            </w:tcMar>
            <w:vAlign w:val="center"/>
          </w:tcPr>
          <w:p w14:paraId="5B664C0D">
            <w:pPr>
              <w:pStyle w:val="21"/>
              <w:spacing w:line="240" w:lineRule="auto"/>
              <w:jc w:val="left"/>
              <w:rPr>
                <w:rFonts w:cs="Times New Roman"/>
              </w:rPr>
            </w:pPr>
          </w:p>
        </w:tc>
        <w:tc>
          <w:tcPr>
            <w:tcW w:w="502" w:type="pct"/>
            <w:tcMar>
              <w:top w:w="15" w:type="dxa"/>
              <w:left w:w="15" w:type="dxa"/>
              <w:right w:w="15" w:type="dxa"/>
            </w:tcMar>
            <w:vAlign w:val="center"/>
          </w:tcPr>
          <w:p w14:paraId="1B016049">
            <w:pPr>
              <w:pStyle w:val="21"/>
              <w:spacing w:line="240" w:lineRule="auto"/>
              <w:jc w:val="left"/>
              <w:rPr>
                <w:rFonts w:cs="Times New Roman"/>
              </w:rPr>
            </w:pPr>
            <w:r>
              <w:rPr>
                <w:rFonts w:cs="Times New Roman"/>
                <w:lang w:val="en-US"/>
              </w:rPr>
              <w:t>A32年度工作计划与部门职能的匹配性</w:t>
            </w:r>
          </w:p>
        </w:tc>
        <w:tc>
          <w:tcPr>
            <w:tcW w:w="355" w:type="pct"/>
            <w:tcMar>
              <w:top w:w="15" w:type="dxa"/>
              <w:left w:w="15" w:type="dxa"/>
              <w:right w:w="15" w:type="dxa"/>
            </w:tcMar>
            <w:vAlign w:val="center"/>
          </w:tcPr>
          <w:p w14:paraId="141D3B49">
            <w:pPr>
              <w:pStyle w:val="21"/>
              <w:spacing w:line="240" w:lineRule="auto"/>
              <w:rPr>
                <w:rFonts w:cs="Times New Roman"/>
              </w:rPr>
            </w:pPr>
            <w:r>
              <w:rPr>
                <w:rFonts w:cs="Times New Roman"/>
                <w:lang w:val="en-US"/>
              </w:rPr>
              <w:t>匹配</w:t>
            </w:r>
          </w:p>
        </w:tc>
        <w:tc>
          <w:tcPr>
            <w:tcW w:w="229" w:type="pct"/>
            <w:tcMar>
              <w:top w:w="15" w:type="dxa"/>
              <w:left w:w="15" w:type="dxa"/>
              <w:right w:w="15" w:type="dxa"/>
            </w:tcMar>
            <w:vAlign w:val="center"/>
          </w:tcPr>
          <w:p w14:paraId="2F9E1460">
            <w:pPr>
              <w:pStyle w:val="21"/>
              <w:spacing w:line="240" w:lineRule="auto"/>
              <w:rPr>
                <w:rFonts w:cs="Times New Roman"/>
              </w:rPr>
            </w:pPr>
            <w:r>
              <w:rPr>
                <w:rFonts w:cs="Times New Roman"/>
                <w:lang w:val="en-US"/>
              </w:rPr>
              <w:t>1</w:t>
            </w:r>
          </w:p>
        </w:tc>
        <w:tc>
          <w:tcPr>
            <w:tcW w:w="1020" w:type="pct"/>
            <w:noWrap/>
            <w:tcMar>
              <w:top w:w="15" w:type="dxa"/>
              <w:left w:w="15" w:type="dxa"/>
              <w:right w:w="15" w:type="dxa"/>
            </w:tcMar>
            <w:vAlign w:val="center"/>
          </w:tcPr>
          <w:p w14:paraId="3B1722DC">
            <w:pPr>
              <w:pStyle w:val="21"/>
              <w:spacing w:line="240" w:lineRule="auto"/>
              <w:jc w:val="left"/>
              <w:rPr>
                <w:rFonts w:cs="Times New Roman"/>
              </w:rPr>
            </w:pPr>
            <w:r>
              <w:rPr>
                <w:rFonts w:cs="Times New Roman"/>
                <w:lang w:val="en-US"/>
              </w:rPr>
              <w:t>考察部门年度工作计划是否与部门职能及部门规划相匹配。</w:t>
            </w:r>
          </w:p>
        </w:tc>
        <w:tc>
          <w:tcPr>
            <w:tcW w:w="1236" w:type="pct"/>
            <w:noWrap/>
            <w:tcMar>
              <w:top w:w="15" w:type="dxa"/>
              <w:left w:w="15" w:type="dxa"/>
              <w:right w:w="15" w:type="dxa"/>
            </w:tcMar>
            <w:vAlign w:val="center"/>
          </w:tcPr>
          <w:p w14:paraId="30A12F73">
            <w:pPr>
              <w:pStyle w:val="21"/>
              <w:spacing w:line="240" w:lineRule="auto"/>
              <w:jc w:val="left"/>
              <w:rPr>
                <w:rFonts w:cs="Times New Roman"/>
              </w:rPr>
            </w:pPr>
            <w:r>
              <w:rPr>
                <w:rFonts w:cs="Times New Roman"/>
                <w:lang w:val="en-US"/>
              </w:rPr>
              <w:t>部门年度工作计划中的各项规划</w:t>
            </w:r>
            <w:r>
              <w:rPr>
                <w:rFonts w:hint="eastAsia" w:ascii="宋体" w:hAnsi="宋体" w:eastAsia="宋体"/>
                <w:lang w:val="en-US"/>
              </w:rPr>
              <w:t>①</w:t>
            </w:r>
            <w:r>
              <w:rPr>
                <w:rFonts w:cs="Times New Roman"/>
                <w:lang w:val="en-US"/>
              </w:rPr>
              <w:t>是否均符合部门职能；</w:t>
            </w:r>
            <w:r>
              <w:rPr>
                <w:rFonts w:hint="eastAsia" w:ascii="宋体" w:hAnsi="宋体" w:eastAsia="宋体"/>
                <w:lang w:val="en-US"/>
              </w:rPr>
              <w:t>②</w:t>
            </w:r>
            <w:r>
              <w:rPr>
                <w:rFonts w:cs="Times New Roman"/>
                <w:lang w:val="en-US"/>
              </w:rPr>
              <w:t>是否与部门和行业战略规划相匹配。以上2项各占1/2权重分，符合得对应权重分，否则不得分。</w:t>
            </w:r>
          </w:p>
        </w:tc>
        <w:tc>
          <w:tcPr>
            <w:tcW w:w="340" w:type="pct"/>
            <w:noWrap/>
            <w:tcMar>
              <w:top w:w="15" w:type="dxa"/>
              <w:left w:w="15" w:type="dxa"/>
              <w:right w:w="15" w:type="dxa"/>
            </w:tcMar>
            <w:vAlign w:val="center"/>
          </w:tcPr>
          <w:p w14:paraId="28DAE027">
            <w:pPr>
              <w:pStyle w:val="21"/>
              <w:spacing w:line="240" w:lineRule="auto"/>
              <w:rPr>
                <w:rFonts w:cs="Times New Roman"/>
                <w:lang w:val="en-US"/>
              </w:rPr>
            </w:pPr>
            <w:r>
              <w:rPr>
                <w:rFonts w:cs="Times New Roman"/>
                <w:lang w:val="en-US"/>
              </w:rPr>
              <w:t>匹配</w:t>
            </w:r>
          </w:p>
        </w:tc>
        <w:tc>
          <w:tcPr>
            <w:tcW w:w="319" w:type="pct"/>
            <w:noWrap/>
            <w:tcMar>
              <w:top w:w="15" w:type="dxa"/>
              <w:left w:w="15" w:type="dxa"/>
              <w:right w:w="15" w:type="dxa"/>
            </w:tcMar>
            <w:vAlign w:val="center"/>
          </w:tcPr>
          <w:p w14:paraId="4E7363AB">
            <w:pPr>
              <w:pStyle w:val="21"/>
              <w:spacing w:line="240" w:lineRule="auto"/>
              <w:rPr>
                <w:rFonts w:cs="Times New Roman"/>
                <w:lang w:val="en-US"/>
              </w:rPr>
            </w:pPr>
            <w:r>
              <w:rPr>
                <w:rFonts w:cs="Times New Roman"/>
                <w:lang w:val="en-US"/>
              </w:rPr>
              <w:t>1</w:t>
            </w:r>
          </w:p>
        </w:tc>
        <w:tc>
          <w:tcPr>
            <w:tcW w:w="319" w:type="pct"/>
            <w:noWrap/>
            <w:tcMar>
              <w:top w:w="15" w:type="dxa"/>
              <w:left w:w="15" w:type="dxa"/>
              <w:right w:w="15" w:type="dxa"/>
            </w:tcMar>
            <w:vAlign w:val="center"/>
          </w:tcPr>
          <w:p w14:paraId="1C630165">
            <w:pPr>
              <w:pStyle w:val="21"/>
              <w:spacing w:line="240" w:lineRule="auto"/>
              <w:rPr>
                <w:rFonts w:cs="Times New Roman"/>
                <w:lang w:val="en-US"/>
              </w:rPr>
            </w:pPr>
          </w:p>
        </w:tc>
      </w:tr>
      <w:tr w14:paraId="688C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295" w:type="pct"/>
            <w:vMerge w:val="continue"/>
            <w:tcMar>
              <w:top w:w="15" w:type="dxa"/>
              <w:left w:w="15" w:type="dxa"/>
              <w:right w:w="15" w:type="dxa"/>
            </w:tcMar>
            <w:vAlign w:val="center"/>
          </w:tcPr>
          <w:p w14:paraId="03007524">
            <w:pPr>
              <w:pStyle w:val="21"/>
              <w:spacing w:line="240" w:lineRule="auto"/>
              <w:jc w:val="left"/>
              <w:rPr>
                <w:rFonts w:cs="Times New Roman"/>
              </w:rPr>
            </w:pPr>
          </w:p>
        </w:tc>
        <w:tc>
          <w:tcPr>
            <w:tcW w:w="379" w:type="pct"/>
            <w:vMerge w:val="restart"/>
            <w:tcMar>
              <w:top w:w="15" w:type="dxa"/>
              <w:left w:w="15" w:type="dxa"/>
              <w:right w:w="15" w:type="dxa"/>
            </w:tcMar>
            <w:vAlign w:val="center"/>
          </w:tcPr>
          <w:p w14:paraId="46A62B88">
            <w:pPr>
              <w:pStyle w:val="21"/>
              <w:spacing w:line="240" w:lineRule="auto"/>
              <w:jc w:val="left"/>
              <w:rPr>
                <w:rFonts w:cs="Times New Roman"/>
              </w:rPr>
            </w:pPr>
            <w:r>
              <w:rPr>
                <w:rFonts w:cs="Times New Roman"/>
                <w:lang w:val="en-US"/>
              </w:rPr>
              <w:t>A4部门预算编制</w:t>
            </w:r>
          </w:p>
        </w:tc>
        <w:tc>
          <w:tcPr>
            <w:tcW w:w="502" w:type="pct"/>
            <w:tcMar>
              <w:top w:w="15" w:type="dxa"/>
              <w:left w:w="15" w:type="dxa"/>
              <w:right w:w="15" w:type="dxa"/>
            </w:tcMar>
            <w:vAlign w:val="center"/>
          </w:tcPr>
          <w:p w14:paraId="0BB25B15">
            <w:pPr>
              <w:pStyle w:val="21"/>
              <w:spacing w:line="240" w:lineRule="auto"/>
              <w:jc w:val="left"/>
              <w:rPr>
                <w:rFonts w:cs="Times New Roman"/>
              </w:rPr>
            </w:pPr>
            <w:r>
              <w:rPr>
                <w:rFonts w:cs="Times New Roman"/>
                <w:lang w:val="en-US"/>
              </w:rPr>
              <w:t>A41预算编制科学规范</w:t>
            </w:r>
          </w:p>
        </w:tc>
        <w:tc>
          <w:tcPr>
            <w:tcW w:w="355" w:type="pct"/>
            <w:tcMar>
              <w:top w:w="15" w:type="dxa"/>
              <w:left w:w="15" w:type="dxa"/>
              <w:right w:w="15" w:type="dxa"/>
            </w:tcMar>
            <w:vAlign w:val="center"/>
          </w:tcPr>
          <w:p w14:paraId="23D221A8">
            <w:pPr>
              <w:pStyle w:val="21"/>
              <w:spacing w:line="240" w:lineRule="auto"/>
              <w:rPr>
                <w:rFonts w:cs="Times New Roman"/>
              </w:rPr>
            </w:pPr>
            <w:r>
              <w:rPr>
                <w:rFonts w:cs="Times New Roman"/>
                <w:lang w:val="en-US"/>
              </w:rPr>
              <w:t>科学、规范</w:t>
            </w:r>
          </w:p>
        </w:tc>
        <w:tc>
          <w:tcPr>
            <w:tcW w:w="229" w:type="pct"/>
            <w:tcMar>
              <w:top w:w="15" w:type="dxa"/>
              <w:left w:w="15" w:type="dxa"/>
              <w:right w:w="15" w:type="dxa"/>
            </w:tcMar>
            <w:vAlign w:val="center"/>
          </w:tcPr>
          <w:p w14:paraId="1A43DC8A">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4974F1A1">
            <w:pPr>
              <w:pStyle w:val="21"/>
              <w:spacing w:line="240" w:lineRule="auto"/>
              <w:jc w:val="left"/>
              <w:rPr>
                <w:rFonts w:cs="Times New Roman"/>
              </w:rPr>
            </w:pPr>
            <w:r>
              <w:rPr>
                <w:rFonts w:cs="Times New Roman"/>
                <w:lang w:val="en-US"/>
              </w:rPr>
              <w:t>考察预算编制（含基本支出和项目支出）是否“科学”衡量制度设计、“规范”衡量流程执行。</w:t>
            </w:r>
          </w:p>
        </w:tc>
        <w:tc>
          <w:tcPr>
            <w:tcW w:w="1236" w:type="pct"/>
            <w:tcMar>
              <w:top w:w="15" w:type="dxa"/>
              <w:left w:w="15" w:type="dxa"/>
              <w:right w:w="15" w:type="dxa"/>
            </w:tcMar>
            <w:vAlign w:val="center"/>
          </w:tcPr>
          <w:p w14:paraId="0D1C7713">
            <w:pPr>
              <w:pStyle w:val="21"/>
              <w:spacing w:line="240" w:lineRule="auto"/>
              <w:jc w:val="left"/>
              <w:rPr>
                <w:rFonts w:cs="Times New Roman"/>
              </w:rPr>
            </w:pPr>
            <w:r>
              <w:rPr>
                <w:rFonts w:hint="eastAsia" w:ascii="宋体" w:hAnsi="宋体" w:eastAsia="宋体"/>
                <w:lang w:val="en-US"/>
              </w:rPr>
              <w:t>①</w:t>
            </w:r>
            <w:r>
              <w:rPr>
                <w:rFonts w:cs="Times New Roman"/>
                <w:lang w:val="en-US"/>
              </w:rPr>
              <w:t>部门预算编制完整，如涉及子项目，子项目列示清晰；</w:t>
            </w:r>
            <w:r>
              <w:rPr>
                <w:rFonts w:hint="eastAsia" w:ascii="宋体" w:hAnsi="宋体" w:eastAsia="宋体"/>
                <w:lang w:val="en-US"/>
              </w:rPr>
              <w:t>②</w:t>
            </w:r>
            <w:r>
              <w:rPr>
                <w:rFonts w:cs="Times New Roman"/>
                <w:lang w:val="en-US"/>
              </w:rPr>
              <w:t>预算依据充分，即数量测算依据明确、科学、合理，单价标准来源准确；</w:t>
            </w:r>
            <w:r>
              <w:rPr>
                <w:rFonts w:hint="eastAsia" w:ascii="宋体" w:hAnsi="宋体" w:eastAsia="宋体"/>
                <w:lang w:val="en-US"/>
              </w:rPr>
              <w:t>③</w:t>
            </w:r>
            <w:r>
              <w:rPr>
                <w:rFonts w:cs="Times New Roman"/>
                <w:lang w:val="en-US"/>
              </w:rPr>
              <w:t>预算与绩效目标相匹配。以上3项各占1/3权重分，符合则得分，否则扣除对应权重分。</w:t>
            </w:r>
          </w:p>
        </w:tc>
        <w:tc>
          <w:tcPr>
            <w:tcW w:w="340" w:type="pct"/>
            <w:tcMar>
              <w:top w:w="15" w:type="dxa"/>
              <w:left w:w="15" w:type="dxa"/>
              <w:right w:w="15" w:type="dxa"/>
            </w:tcMar>
            <w:vAlign w:val="center"/>
          </w:tcPr>
          <w:p w14:paraId="7B190A69">
            <w:pPr>
              <w:pStyle w:val="21"/>
              <w:spacing w:line="240" w:lineRule="auto"/>
              <w:rPr>
                <w:rFonts w:eastAsia="宋体" w:cs="Times New Roman"/>
                <w:lang w:val="en-US"/>
              </w:rPr>
            </w:pPr>
            <w:r>
              <w:rPr>
                <w:rFonts w:cs="Times New Roman"/>
                <w:lang w:val="en-US"/>
              </w:rPr>
              <w:t>科学、规范</w:t>
            </w:r>
          </w:p>
        </w:tc>
        <w:tc>
          <w:tcPr>
            <w:tcW w:w="319" w:type="pct"/>
            <w:tcMar>
              <w:top w:w="15" w:type="dxa"/>
              <w:left w:w="15" w:type="dxa"/>
              <w:right w:w="15" w:type="dxa"/>
            </w:tcMar>
            <w:vAlign w:val="center"/>
          </w:tcPr>
          <w:p w14:paraId="60F070CA">
            <w:pPr>
              <w:pStyle w:val="21"/>
              <w:spacing w:line="240" w:lineRule="auto"/>
              <w:rPr>
                <w:rFonts w:eastAsia="宋体" w:cs="Times New Roman"/>
                <w:lang w:val="en-US"/>
              </w:rPr>
            </w:pPr>
            <w:r>
              <w:rPr>
                <w:rFonts w:eastAsia="宋体" w:cs="Times New Roman"/>
                <w:lang w:val="en-US"/>
              </w:rPr>
              <w:t>2</w:t>
            </w:r>
          </w:p>
        </w:tc>
        <w:tc>
          <w:tcPr>
            <w:tcW w:w="319" w:type="pct"/>
            <w:tcMar>
              <w:top w:w="15" w:type="dxa"/>
              <w:left w:w="15" w:type="dxa"/>
              <w:right w:w="15" w:type="dxa"/>
            </w:tcMar>
            <w:vAlign w:val="center"/>
          </w:tcPr>
          <w:p w14:paraId="670D504E">
            <w:pPr>
              <w:pStyle w:val="21"/>
              <w:spacing w:line="240" w:lineRule="auto"/>
              <w:rPr>
                <w:rFonts w:eastAsia="宋体" w:cs="Times New Roman"/>
                <w:lang w:val="en-US"/>
              </w:rPr>
            </w:pPr>
          </w:p>
        </w:tc>
      </w:tr>
      <w:tr w14:paraId="25B7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79E9F4F5">
            <w:pPr>
              <w:pStyle w:val="21"/>
              <w:spacing w:line="240" w:lineRule="auto"/>
              <w:jc w:val="left"/>
              <w:rPr>
                <w:rFonts w:cs="Times New Roman"/>
              </w:rPr>
            </w:pPr>
          </w:p>
        </w:tc>
        <w:tc>
          <w:tcPr>
            <w:tcW w:w="379" w:type="pct"/>
            <w:vMerge w:val="continue"/>
            <w:tcMar>
              <w:top w:w="15" w:type="dxa"/>
              <w:left w:w="15" w:type="dxa"/>
              <w:right w:w="15" w:type="dxa"/>
            </w:tcMar>
            <w:vAlign w:val="center"/>
          </w:tcPr>
          <w:p w14:paraId="3F988796">
            <w:pPr>
              <w:pStyle w:val="21"/>
              <w:spacing w:line="240" w:lineRule="auto"/>
              <w:jc w:val="left"/>
              <w:rPr>
                <w:rFonts w:cs="Times New Roman"/>
              </w:rPr>
            </w:pPr>
          </w:p>
        </w:tc>
        <w:tc>
          <w:tcPr>
            <w:tcW w:w="502" w:type="pct"/>
            <w:tcMar>
              <w:top w:w="15" w:type="dxa"/>
              <w:left w:w="15" w:type="dxa"/>
              <w:right w:w="15" w:type="dxa"/>
            </w:tcMar>
            <w:vAlign w:val="center"/>
          </w:tcPr>
          <w:p w14:paraId="7EC7D021">
            <w:pPr>
              <w:pStyle w:val="21"/>
              <w:spacing w:line="240" w:lineRule="auto"/>
              <w:jc w:val="left"/>
              <w:rPr>
                <w:rFonts w:cs="Times New Roman"/>
              </w:rPr>
            </w:pPr>
            <w:r>
              <w:rPr>
                <w:rFonts w:cs="Times New Roman"/>
                <w:lang w:val="en-US"/>
              </w:rPr>
              <w:t>A42预算编制与重点工作任务的匹配性</w:t>
            </w:r>
          </w:p>
        </w:tc>
        <w:tc>
          <w:tcPr>
            <w:tcW w:w="355" w:type="pct"/>
            <w:tcMar>
              <w:top w:w="15" w:type="dxa"/>
              <w:left w:w="15" w:type="dxa"/>
              <w:right w:w="15" w:type="dxa"/>
            </w:tcMar>
            <w:vAlign w:val="center"/>
          </w:tcPr>
          <w:p w14:paraId="6CD581FD">
            <w:pPr>
              <w:pStyle w:val="21"/>
              <w:spacing w:line="240" w:lineRule="auto"/>
              <w:rPr>
                <w:rFonts w:cs="Times New Roman"/>
              </w:rPr>
            </w:pPr>
            <w:r>
              <w:rPr>
                <w:rFonts w:cs="Times New Roman"/>
                <w:lang w:val="en-US"/>
              </w:rPr>
              <w:t>匹配</w:t>
            </w:r>
          </w:p>
        </w:tc>
        <w:tc>
          <w:tcPr>
            <w:tcW w:w="229" w:type="pct"/>
            <w:tcMar>
              <w:top w:w="15" w:type="dxa"/>
              <w:left w:w="15" w:type="dxa"/>
              <w:right w:w="15" w:type="dxa"/>
            </w:tcMar>
            <w:vAlign w:val="center"/>
          </w:tcPr>
          <w:p w14:paraId="336DDC52">
            <w:pPr>
              <w:pStyle w:val="21"/>
              <w:spacing w:line="240" w:lineRule="auto"/>
              <w:rPr>
                <w:rFonts w:cs="Times New Roman"/>
              </w:rPr>
            </w:pPr>
            <w:r>
              <w:rPr>
                <w:rFonts w:cs="Times New Roman"/>
                <w:lang w:val="en-US"/>
              </w:rPr>
              <w:t>1</w:t>
            </w:r>
          </w:p>
        </w:tc>
        <w:tc>
          <w:tcPr>
            <w:tcW w:w="1020" w:type="pct"/>
            <w:tcMar>
              <w:top w:w="15" w:type="dxa"/>
              <w:left w:w="15" w:type="dxa"/>
              <w:right w:w="15" w:type="dxa"/>
            </w:tcMar>
            <w:vAlign w:val="center"/>
          </w:tcPr>
          <w:p w14:paraId="2F9E5F10">
            <w:pPr>
              <w:pStyle w:val="21"/>
              <w:spacing w:line="240" w:lineRule="auto"/>
              <w:jc w:val="left"/>
              <w:rPr>
                <w:rFonts w:cs="Times New Roman"/>
              </w:rPr>
            </w:pPr>
            <w:r>
              <w:rPr>
                <w:rFonts w:cs="Times New Roman"/>
                <w:lang w:val="en-US"/>
              </w:rPr>
              <w:t>考察预算编制是否与部门重点工作任务相匹配。</w:t>
            </w:r>
          </w:p>
        </w:tc>
        <w:tc>
          <w:tcPr>
            <w:tcW w:w="1236" w:type="pct"/>
            <w:tcMar>
              <w:top w:w="15" w:type="dxa"/>
              <w:left w:w="15" w:type="dxa"/>
              <w:right w:w="15" w:type="dxa"/>
            </w:tcMar>
            <w:vAlign w:val="center"/>
          </w:tcPr>
          <w:p w14:paraId="7682B192">
            <w:pPr>
              <w:pStyle w:val="21"/>
              <w:spacing w:line="240" w:lineRule="auto"/>
              <w:jc w:val="left"/>
              <w:rPr>
                <w:rFonts w:cs="Times New Roman"/>
              </w:rPr>
            </w:pPr>
            <w:r>
              <w:rPr>
                <w:rFonts w:cs="Times New Roman"/>
                <w:lang w:val="en-US"/>
              </w:rPr>
              <w:t>预算编制是否符合年度部门重点工作任务。符合条件得分，否则每有一项不符合扣10%权重分，扣完为止。</w:t>
            </w:r>
          </w:p>
        </w:tc>
        <w:tc>
          <w:tcPr>
            <w:tcW w:w="340" w:type="pct"/>
            <w:tcMar>
              <w:top w:w="15" w:type="dxa"/>
              <w:left w:w="15" w:type="dxa"/>
              <w:right w:w="15" w:type="dxa"/>
            </w:tcMar>
            <w:vAlign w:val="center"/>
          </w:tcPr>
          <w:p w14:paraId="2352A73C">
            <w:pPr>
              <w:pStyle w:val="21"/>
              <w:spacing w:line="240" w:lineRule="auto"/>
              <w:rPr>
                <w:rFonts w:cs="Times New Roman"/>
                <w:lang w:val="en-US"/>
              </w:rPr>
            </w:pPr>
            <w:r>
              <w:rPr>
                <w:rFonts w:cs="Times New Roman"/>
                <w:lang w:val="en-US"/>
              </w:rPr>
              <w:t>匹配</w:t>
            </w:r>
          </w:p>
        </w:tc>
        <w:tc>
          <w:tcPr>
            <w:tcW w:w="319" w:type="pct"/>
            <w:tcMar>
              <w:top w:w="15" w:type="dxa"/>
              <w:left w:w="15" w:type="dxa"/>
              <w:right w:w="15" w:type="dxa"/>
            </w:tcMar>
            <w:vAlign w:val="center"/>
          </w:tcPr>
          <w:p w14:paraId="3E0CB18D">
            <w:pPr>
              <w:pStyle w:val="21"/>
              <w:spacing w:line="240" w:lineRule="auto"/>
              <w:rPr>
                <w:rFonts w:cs="Times New Roman"/>
                <w:lang w:val="en-US"/>
              </w:rPr>
            </w:pPr>
            <w:r>
              <w:rPr>
                <w:rFonts w:cs="Times New Roman"/>
                <w:lang w:val="en-US"/>
              </w:rPr>
              <w:t>1</w:t>
            </w:r>
          </w:p>
        </w:tc>
        <w:tc>
          <w:tcPr>
            <w:tcW w:w="319" w:type="pct"/>
            <w:tcMar>
              <w:top w:w="15" w:type="dxa"/>
              <w:left w:w="15" w:type="dxa"/>
              <w:right w:w="15" w:type="dxa"/>
            </w:tcMar>
            <w:vAlign w:val="center"/>
          </w:tcPr>
          <w:p w14:paraId="5EE71E5F">
            <w:pPr>
              <w:pStyle w:val="21"/>
              <w:spacing w:line="240" w:lineRule="auto"/>
              <w:rPr>
                <w:rFonts w:cs="Times New Roman"/>
                <w:lang w:val="en-US"/>
              </w:rPr>
            </w:pPr>
          </w:p>
        </w:tc>
      </w:tr>
      <w:tr w14:paraId="19FF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295" w:type="pct"/>
            <w:vMerge w:val="restart"/>
            <w:tcMar>
              <w:top w:w="15" w:type="dxa"/>
              <w:left w:w="15" w:type="dxa"/>
              <w:right w:w="15" w:type="dxa"/>
            </w:tcMar>
            <w:vAlign w:val="center"/>
          </w:tcPr>
          <w:p w14:paraId="17D60A4C">
            <w:pPr>
              <w:pStyle w:val="21"/>
              <w:spacing w:line="240" w:lineRule="auto"/>
              <w:jc w:val="left"/>
              <w:rPr>
                <w:rFonts w:cs="Times New Roman"/>
              </w:rPr>
            </w:pPr>
            <w:r>
              <w:rPr>
                <w:rFonts w:cs="Times New Roman"/>
                <w:lang w:val="en-US"/>
              </w:rPr>
              <w:t>B部门管理（20分）</w:t>
            </w:r>
          </w:p>
        </w:tc>
        <w:tc>
          <w:tcPr>
            <w:tcW w:w="379" w:type="pct"/>
            <w:vMerge w:val="restart"/>
            <w:tcMar>
              <w:top w:w="15" w:type="dxa"/>
              <w:left w:w="15" w:type="dxa"/>
              <w:right w:w="15" w:type="dxa"/>
            </w:tcMar>
            <w:vAlign w:val="center"/>
          </w:tcPr>
          <w:p w14:paraId="075871E0">
            <w:pPr>
              <w:pStyle w:val="21"/>
              <w:spacing w:line="240" w:lineRule="auto"/>
              <w:jc w:val="left"/>
              <w:rPr>
                <w:rFonts w:cs="Times New Roman"/>
              </w:rPr>
            </w:pPr>
            <w:r>
              <w:rPr>
                <w:rFonts w:cs="Times New Roman"/>
                <w:lang w:val="en-US"/>
              </w:rPr>
              <w:t>B1预算执行</w:t>
            </w:r>
          </w:p>
        </w:tc>
        <w:tc>
          <w:tcPr>
            <w:tcW w:w="502" w:type="pct"/>
            <w:tcMar>
              <w:top w:w="15" w:type="dxa"/>
              <w:left w:w="15" w:type="dxa"/>
              <w:right w:w="15" w:type="dxa"/>
            </w:tcMar>
            <w:vAlign w:val="center"/>
          </w:tcPr>
          <w:p w14:paraId="50412A15">
            <w:pPr>
              <w:pStyle w:val="21"/>
              <w:spacing w:line="240" w:lineRule="auto"/>
              <w:jc w:val="left"/>
              <w:rPr>
                <w:rFonts w:cs="Times New Roman"/>
              </w:rPr>
            </w:pPr>
            <w:r>
              <w:rPr>
                <w:rFonts w:cs="Times New Roman"/>
                <w:lang w:val="en-US"/>
              </w:rPr>
              <w:t>B11部门预算执行率</w:t>
            </w:r>
          </w:p>
        </w:tc>
        <w:tc>
          <w:tcPr>
            <w:tcW w:w="355" w:type="pct"/>
            <w:tcMar>
              <w:top w:w="15" w:type="dxa"/>
              <w:left w:w="15" w:type="dxa"/>
              <w:right w:w="15" w:type="dxa"/>
            </w:tcMar>
            <w:vAlign w:val="center"/>
          </w:tcPr>
          <w:p w14:paraId="008AEA70">
            <w:pPr>
              <w:pStyle w:val="21"/>
              <w:spacing w:line="240" w:lineRule="auto"/>
              <w:rPr>
                <w:rFonts w:cs="Times New Roman"/>
              </w:rPr>
            </w:pPr>
            <w:r>
              <w:rPr>
                <w:rFonts w:cs="Times New Roman"/>
                <w:lang w:val="en-US"/>
              </w:rPr>
              <w:t>100%</w:t>
            </w:r>
          </w:p>
        </w:tc>
        <w:tc>
          <w:tcPr>
            <w:tcW w:w="229" w:type="pct"/>
            <w:tcMar>
              <w:top w:w="15" w:type="dxa"/>
              <w:left w:w="15" w:type="dxa"/>
              <w:right w:w="15" w:type="dxa"/>
            </w:tcMar>
            <w:vAlign w:val="center"/>
          </w:tcPr>
          <w:p w14:paraId="6163B022">
            <w:pPr>
              <w:pStyle w:val="21"/>
              <w:spacing w:line="240" w:lineRule="auto"/>
              <w:rPr>
                <w:rFonts w:cs="Times New Roman"/>
              </w:rPr>
            </w:pPr>
            <w:r>
              <w:rPr>
                <w:rFonts w:cs="Times New Roman"/>
                <w:lang w:val="en-US"/>
              </w:rPr>
              <w:t>1</w:t>
            </w:r>
          </w:p>
        </w:tc>
        <w:tc>
          <w:tcPr>
            <w:tcW w:w="1020" w:type="pct"/>
            <w:noWrap/>
            <w:tcMar>
              <w:top w:w="15" w:type="dxa"/>
              <w:left w:w="15" w:type="dxa"/>
              <w:right w:w="15" w:type="dxa"/>
            </w:tcMar>
            <w:vAlign w:val="center"/>
          </w:tcPr>
          <w:p w14:paraId="4635888C">
            <w:pPr>
              <w:pStyle w:val="21"/>
              <w:spacing w:line="240" w:lineRule="auto"/>
              <w:jc w:val="left"/>
              <w:rPr>
                <w:rFonts w:cs="Times New Roman"/>
              </w:rPr>
            </w:pPr>
            <w:r>
              <w:rPr>
                <w:rFonts w:cs="Times New Roman"/>
                <w:lang w:val="en-US"/>
              </w:rPr>
              <w:t>考察年度部门预算（含基本支出和项目支出）的执行情况。</w:t>
            </w:r>
          </w:p>
        </w:tc>
        <w:tc>
          <w:tcPr>
            <w:tcW w:w="1236" w:type="pct"/>
            <w:noWrap/>
            <w:tcMar>
              <w:top w:w="15" w:type="dxa"/>
              <w:left w:w="15" w:type="dxa"/>
              <w:right w:w="15" w:type="dxa"/>
            </w:tcMar>
            <w:vAlign w:val="center"/>
          </w:tcPr>
          <w:p w14:paraId="7544BBCF">
            <w:pPr>
              <w:pStyle w:val="21"/>
              <w:spacing w:line="240" w:lineRule="auto"/>
              <w:jc w:val="left"/>
              <w:rPr>
                <w:rFonts w:cs="Times New Roman"/>
                <w:lang w:val="en-US"/>
              </w:rPr>
            </w:pPr>
            <w:r>
              <w:rPr>
                <w:rFonts w:cs="Times New Roman"/>
                <w:lang w:val="en-US"/>
              </w:rPr>
              <w:t>预算执行率=（实际支出额/预算资金总额）×100%。得到100%得对应权重分，否则每降低1%扣1%权重分，扣完为止。</w:t>
            </w:r>
          </w:p>
        </w:tc>
        <w:tc>
          <w:tcPr>
            <w:tcW w:w="340" w:type="pct"/>
            <w:noWrap/>
            <w:tcMar>
              <w:top w:w="15" w:type="dxa"/>
              <w:left w:w="15" w:type="dxa"/>
              <w:right w:w="15" w:type="dxa"/>
            </w:tcMar>
            <w:vAlign w:val="center"/>
          </w:tcPr>
          <w:p w14:paraId="7323DAE6">
            <w:pPr>
              <w:pStyle w:val="21"/>
              <w:spacing w:line="240" w:lineRule="auto"/>
              <w:rPr>
                <w:rFonts w:hint="default" w:cs="Times New Roman"/>
                <w:lang w:val="en-US" w:eastAsia="zh-CN"/>
              </w:rPr>
            </w:pPr>
            <w:r>
              <w:rPr>
                <w:rFonts w:hint="eastAsia" w:cs="Times New Roman"/>
                <w:lang w:val="en-US" w:eastAsia="zh-CN"/>
              </w:rPr>
              <w:t>98.46%</w:t>
            </w:r>
          </w:p>
        </w:tc>
        <w:tc>
          <w:tcPr>
            <w:tcW w:w="319" w:type="pct"/>
            <w:noWrap/>
            <w:tcMar>
              <w:top w:w="15" w:type="dxa"/>
              <w:left w:w="15" w:type="dxa"/>
              <w:right w:w="15" w:type="dxa"/>
            </w:tcMar>
            <w:vAlign w:val="center"/>
          </w:tcPr>
          <w:p w14:paraId="4A38BAE1">
            <w:pPr>
              <w:pStyle w:val="21"/>
              <w:spacing w:line="240" w:lineRule="auto"/>
              <w:rPr>
                <w:rFonts w:hint="default" w:eastAsia="仿宋_GB2312" w:cs="Times New Roman"/>
                <w:lang w:val="en-US" w:eastAsia="zh-CN"/>
              </w:rPr>
            </w:pPr>
            <w:r>
              <w:rPr>
                <w:rFonts w:hint="eastAsia" w:cs="Times New Roman"/>
                <w:lang w:val="en-US" w:eastAsia="zh-CN"/>
              </w:rPr>
              <w:t>0.98</w:t>
            </w:r>
          </w:p>
        </w:tc>
        <w:tc>
          <w:tcPr>
            <w:tcW w:w="319" w:type="pct"/>
            <w:noWrap/>
            <w:tcMar>
              <w:top w:w="15" w:type="dxa"/>
              <w:left w:w="15" w:type="dxa"/>
              <w:right w:w="15" w:type="dxa"/>
            </w:tcMar>
            <w:vAlign w:val="center"/>
          </w:tcPr>
          <w:p w14:paraId="475A7B17">
            <w:pPr>
              <w:pStyle w:val="21"/>
              <w:spacing w:line="240" w:lineRule="auto"/>
              <w:jc w:val="left"/>
              <w:rPr>
                <w:rFonts w:hint="default" w:cs="Times New Roman"/>
                <w:lang w:val="en-US" w:eastAsia="zh-CN"/>
              </w:rPr>
            </w:pPr>
            <w:r>
              <w:rPr>
                <w:rFonts w:hint="eastAsia" w:cs="Times New Roman"/>
                <w:lang w:val="en-US" w:eastAsia="zh-CN"/>
              </w:rPr>
              <w:t>财政压缩项目经费</w:t>
            </w:r>
          </w:p>
        </w:tc>
      </w:tr>
      <w:tr w14:paraId="497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95" w:type="pct"/>
            <w:vMerge w:val="continue"/>
            <w:tcMar>
              <w:top w:w="15" w:type="dxa"/>
              <w:left w:w="15" w:type="dxa"/>
              <w:right w:w="15" w:type="dxa"/>
            </w:tcMar>
            <w:vAlign w:val="center"/>
          </w:tcPr>
          <w:p w14:paraId="6F6F801E">
            <w:pPr>
              <w:pStyle w:val="21"/>
              <w:spacing w:line="240" w:lineRule="auto"/>
              <w:jc w:val="left"/>
              <w:rPr>
                <w:rFonts w:cs="Times New Roman"/>
              </w:rPr>
            </w:pPr>
          </w:p>
        </w:tc>
        <w:tc>
          <w:tcPr>
            <w:tcW w:w="379" w:type="pct"/>
            <w:vMerge w:val="continue"/>
            <w:tcMar>
              <w:top w:w="15" w:type="dxa"/>
              <w:left w:w="15" w:type="dxa"/>
              <w:right w:w="15" w:type="dxa"/>
            </w:tcMar>
            <w:vAlign w:val="center"/>
          </w:tcPr>
          <w:p w14:paraId="4A4F77FB">
            <w:pPr>
              <w:pStyle w:val="21"/>
              <w:spacing w:line="240" w:lineRule="auto"/>
              <w:jc w:val="left"/>
              <w:rPr>
                <w:rFonts w:cs="Times New Roman"/>
              </w:rPr>
            </w:pPr>
          </w:p>
        </w:tc>
        <w:tc>
          <w:tcPr>
            <w:tcW w:w="502" w:type="pct"/>
            <w:tcMar>
              <w:top w:w="15" w:type="dxa"/>
              <w:left w:w="15" w:type="dxa"/>
              <w:right w:w="15" w:type="dxa"/>
            </w:tcMar>
            <w:vAlign w:val="center"/>
          </w:tcPr>
          <w:p w14:paraId="62E35074">
            <w:pPr>
              <w:pStyle w:val="21"/>
              <w:spacing w:line="240" w:lineRule="auto"/>
              <w:jc w:val="left"/>
              <w:rPr>
                <w:rFonts w:cs="Times New Roman"/>
                <w:lang w:val="en-US"/>
              </w:rPr>
            </w:pPr>
            <w:r>
              <w:rPr>
                <w:rFonts w:cs="Times New Roman"/>
                <w:lang w:val="en-US"/>
              </w:rPr>
              <w:t>B12专项资金执行率</w:t>
            </w:r>
          </w:p>
        </w:tc>
        <w:tc>
          <w:tcPr>
            <w:tcW w:w="355" w:type="pct"/>
            <w:tcMar>
              <w:top w:w="15" w:type="dxa"/>
              <w:left w:w="15" w:type="dxa"/>
              <w:right w:w="15" w:type="dxa"/>
            </w:tcMar>
            <w:vAlign w:val="center"/>
          </w:tcPr>
          <w:p w14:paraId="1ACC9894">
            <w:pPr>
              <w:pStyle w:val="21"/>
              <w:spacing w:line="240" w:lineRule="auto"/>
              <w:rPr>
                <w:rFonts w:cs="Times New Roman"/>
                <w:lang w:val="en-US"/>
              </w:rPr>
            </w:pPr>
            <w:r>
              <w:rPr>
                <w:rFonts w:cs="Times New Roman"/>
                <w:lang w:val="en-US"/>
              </w:rPr>
              <w:t>100%</w:t>
            </w:r>
          </w:p>
        </w:tc>
        <w:tc>
          <w:tcPr>
            <w:tcW w:w="229" w:type="pct"/>
            <w:tcMar>
              <w:top w:w="15" w:type="dxa"/>
              <w:left w:w="15" w:type="dxa"/>
              <w:right w:w="15" w:type="dxa"/>
            </w:tcMar>
            <w:vAlign w:val="center"/>
          </w:tcPr>
          <w:p w14:paraId="20BFC41A">
            <w:pPr>
              <w:pStyle w:val="21"/>
              <w:spacing w:line="240" w:lineRule="auto"/>
              <w:rPr>
                <w:rFonts w:cs="Times New Roman"/>
                <w:lang w:val="en-US"/>
              </w:rPr>
            </w:pPr>
            <w:r>
              <w:rPr>
                <w:rFonts w:cs="Times New Roman"/>
                <w:lang w:val="en-US"/>
              </w:rPr>
              <w:t>1</w:t>
            </w:r>
          </w:p>
        </w:tc>
        <w:tc>
          <w:tcPr>
            <w:tcW w:w="1020" w:type="pct"/>
            <w:noWrap/>
            <w:tcMar>
              <w:top w:w="15" w:type="dxa"/>
              <w:left w:w="15" w:type="dxa"/>
              <w:right w:w="15" w:type="dxa"/>
            </w:tcMar>
            <w:vAlign w:val="center"/>
          </w:tcPr>
          <w:p w14:paraId="2375E9B2">
            <w:pPr>
              <w:pStyle w:val="21"/>
              <w:spacing w:line="240" w:lineRule="auto"/>
              <w:jc w:val="left"/>
              <w:rPr>
                <w:rFonts w:cs="Times New Roman"/>
                <w:lang w:val="en-US"/>
              </w:rPr>
            </w:pPr>
            <w:r>
              <w:rPr>
                <w:rFonts w:cs="Times New Roman"/>
                <w:lang w:val="en-US"/>
              </w:rPr>
              <w:t>考察年度部门专项资金的执行情况</w:t>
            </w:r>
          </w:p>
        </w:tc>
        <w:tc>
          <w:tcPr>
            <w:tcW w:w="1236" w:type="pct"/>
            <w:noWrap/>
            <w:tcMar>
              <w:top w:w="15" w:type="dxa"/>
              <w:left w:w="15" w:type="dxa"/>
              <w:right w:w="15" w:type="dxa"/>
            </w:tcMar>
            <w:vAlign w:val="center"/>
          </w:tcPr>
          <w:p w14:paraId="662C185A">
            <w:pPr>
              <w:pStyle w:val="21"/>
              <w:spacing w:line="240" w:lineRule="auto"/>
              <w:jc w:val="left"/>
              <w:rPr>
                <w:rFonts w:eastAsia="宋体" w:cs="Times New Roman"/>
                <w:lang w:val="en-US"/>
              </w:rPr>
            </w:pPr>
            <w:r>
              <w:rPr>
                <w:rFonts w:cs="Times New Roman"/>
                <w:lang w:val="en-US"/>
              </w:rPr>
              <w:t>专项资金执行率=（专项资金实际支出额/专项资金预算总额）×100%。得到100%得对应权重分，否则每降低1%扣1%权重分，扣完为止。</w:t>
            </w:r>
          </w:p>
        </w:tc>
        <w:tc>
          <w:tcPr>
            <w:tcW w:w="340" w:type="pct"/>
            <w:noWrap/>
            <w:tcMar>
              <w:top w:w="15" w:type="dxa"/>
              <w:left w:w="15" w:type="dxa"/>
              <w:right w:w="15" w:type="dxa"/>
            </w:tcMar>
            <w:vAlign w:val="center"/>
          </w:tcPr>
          <w:p w14:paraId="23C6871B">
            <w:pPr>
              <w:pStyle w:val="21"/>
              <w:spacing w:line="240" w:lineRule="auto"/>
              <w:rPr>
                <w:rFonts w:hint="default" w:eastAsia="宋体" w:cs="Times New Roman"/>
                <w:lang w:val="en-US" w:eastAsia="zh-CN"/>
              </w:rPr>
            </w:pPr>
            <w:r>
              <w:rPr>
                <w:rFonts w:hint="eastAsia" w:eastAsia="宋体" w:cs="Times New Roman"/>
                <w:lang w:val="en-US" w:eastAsia="zh-CN"/>
              </w:rPr>
              <w:t>89.75%</w:t>
            </w:r>
          </w:p>
        </w:tc>
        <w:tc>
          <w:tcPr>
            <w:tcW w:w="319" w:type="pct"/>
            <w:noWrap/>
            <w:tcMar>
              <w:top w:w="15" w:type="dxa"/>
              <w:left w:w="15" w:type="dxa"/>
              <w:right w:w="15" w:type="dxa"/>
            </w:tcMar>
            <w:vAlign w:val="center"/>
          </w:tcPr>
          <w:p w14:paraId="2C143780">
            <w:pPr>
              <w:pStyle w:val="21"/>
              <w:spacing w:line="240" w:lineRule="auto"/>
              <w:rPr>
                <w:rFonts w:hint="default" w:eastAsia="宋体" w:cs="Times New Roman"/>
                <w:lang w:val="en-US" w:eastAsia="zh-CN"/>
              </w:rPr>
            </w:pPr>
            <w:r>
              <w:rPr>
                <w:rFonts w:hint="eastAsia" w:eastAsia="宋体" w:cs="Times New Roman"/>
                <w:lang w:val="en-US" w:eastAsia="zh-CN"/>
              </w:rPr>
              <w:t>0.90</w:t>
            </w:r>
          </w:p>
        </w:tc>
        <w:tc>
          <w:tcPr>
            <w:tcW w:w="319" w:type="pct"/>
            <w:noWrap/>
            <w:tcMar>
              <w:top w:w="15" w:type="dxa"/>
              <w:left w:w="15" w:type="dxa"/>
              <w:right w:w="15" w:type="dxa"/>
            </w:tcMar>
            <w:vAlign w:val="center"/>
          </w:tcPr>
          <w:p w14:paraId="7F4DC1A3">
            <w:pPr>
              <w:pStyle w:val="21"/>
              <w:spacing w:line="240" w:lineRule="auto"/>
              <w:jc w:val="left"/>
              <w:rPr>
                <w:rFonts w:hint="default" w:eastAsia="宋体" w:cs="Times New Roman"/>
                <w:lang w:val="en-US" w:eastAsia="zh-CN"/>
              </w:rPr>
            </w:pPr>
            <w:r>
              <w:rPr>
                <w:rFonts w:hint="eastAsia" w:cs="Times New Roman"/>
                <w:lang w:val="en-US" w:eastAsia="zh-CN"/>
              </w:rPr>
              <w:t>财政压缩项目经费</w:t>
            </w:r>
          </w:p>
        </w:tc>
      </w:tr>
      <w:tr w14:paraId="1B52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95" w:type="pct"/>
            <w:vMerge w:val="continue"/>
            <w:tcMar>
              <w:top w:w="15" w:type="dxa"/>
              <w:left w:w="15" w:type="dxa"/>
              <w:right w:w="15" w:type="dxa"/>
            </w:tcMar>
            <w:vAlign w:val="center"/>
          </w:tcPr>
          <w:p w14:paraId="230B84DD">
            <w:pPr>
              <w:pStyle w:val="21"/>
              <w:spacing w:line="240" w:lineRule="auto"/>
              <w:jc w:val="left"/>
              <w:rPr>
                <w:rFonts w:cs="Times New Roman"/>
              </w:rPr>
            </w:pPr>
          </w:p>
        </w:tc>
        <w:tc>
          <w:tcPr>
            <w:tcW w:w="379" w:type="pct"/>
            <w:vMerge w:val="continue"/>
            <w:tcMar>
              <w:top w:w="15" w:type="dxa"/>
              <w:left w:w="15" w:type="dxa"/>
              <w:right w:w="15" w:type="dxa"/>
            </w:tcMar>
            <w:vAlign w:val="center"/>
          </w:tcPr>
          <w:p w14:paraId="149E2DE1">
            <w:pPr>
              <w:pStyle w:val="21"/>
              <w:spacing w:line="240" w:lineRule="auto"/>
              <w:jc w:val="left"/>
              <w:rPr>
                <w:rFonts w:cs="Times New Roman"/>
              </w:rPr>
            </w:pPr>
          </w:p>
        </w:tc>
        <w:tc>
          <w:tcPr>
            <w:tcW w:w="502" w:type="pct"/>
            <w:tcMar>
              <w:top w:w="15" w:type="dxa"/>
              <w:left w:w="15" w:type="dxa"/>
              <w:right w:w="15" w:type="dxa"/>
            </w:tcMar>
            <w:vAlign w:val="center"/>
          </w:tcPr>
          <w:p w14:paraId="32BB9C16">
            <w:pPr>
              <w:pStyle w:val="21"/>
              <w:spacing w:line="240" w:lineRule="auto"/>
              <w:jc w:val="left"/>
              <w:rPr>
                <w:rFonts w:cs="Times New Roman"/>
              </w:rPr>
            </w:pPr>
            <w:r>
              <w:rPr>
                <w:rFonts w:cs="Times New Roman"/>
                <w:lang w:val="en-US"/>
              </w:rPr>
              <w:t>B13“三公”经费控有效</w:t>
            </w:r>
          </w:p>
        </w:tc>
        <w:tc>
          <w:tcPr>
            <w:tcW w:w="355" w:type="pct"/>
            <w:tcMar>
              <w:top w:w="15" w:type="dxa"/>
              <w:left w:w="15" w:type="dxa"/>
              <w:right w:w="15" w:type="dxa"/>
            </w:tcMar>
            <w:vAlign w:val="center"/>
          </w:tcPr>
          <w:p w14:paraId="2BC4C9C1">
            <w:pPr>
              <w:pStyle w:val="21"/>
              <w:spacing w:line="240" w:lineRule="auto"/>
              <w:rPr>
                <w:rFonts w:cs="Times New Roman"/>
              </w:rPr>
            </w:pPr>
            <w:r>
              <w:rPr>
                <w:rFonts w:cs="Times New Roman"/>
                <w:lang w:val="en-US"/>
              </w:rPr>
              <w:t>有效</w:t>
            </w:r>
          </w:p>
        </w:tc>
        <w:tc>
          <w:tcPr>
            <w:tcW w:w="229" w:type="pct"/>
            <w:tcMar>
              <w:top w:w="15" w:type="dxa"/>
              <w:left w:w="15" w:type="dxa"/>
              <w:right w:w="15" w:type="dxa"/>
            </w:tcMar>
            <w:vAlign w:val="center"/>
          </w:tcPr>
          <w:p w14:paraId="3AD1AAD0">
            <w:pPr>
              <w:pStyle w:val="21"/>
              <w:spacing w:line="240" w:lineRule="auto"/>
              <w:rPr>
                <w:rFonts w:cs="Times New Roman"/>
              </w:rPr>
            </w:pPr>
            <w:r>
              <w:rPr>
                <w:rFonts w:cs="Times New Roman"/>
                <w:lang w:val="en-US"/>
              </w:rPr>
              <w:t>1</w:t>
            </w:r>
          </w:p>
        </w:tc>
        <w:tc>
          <w:tcPr>
            <w:tcW w:w="1020" w:type="pct"/>
            <w:noWrap/>
            <w:tcMar>
              <w:top w:w="15" w:type="dxa"/>
              <w:left w:w="15" w:type="dxa"/>
              <w:right w:w="15" w:type="dxa"/>
            </w:tcMar>
            <w:vAlign w:val="center"/>
          </w:tcPr>
          <w:p w14:paraId="42644F02">
            <w:pPr>
              <w:pStyle w:val="21"/>
              <w:spacing w:line="240" w:lineRule="auto"/>
              <w:jc w:val="left"/>
              <w:rPr>
                <w:rFonts w:cs="Times New Roman"/>
              </w:rPr>
            </w:pPr>
            <w:r>
              <w:rPr>
                <w:rFonts w:cs="Times New Roman"/>
                <w:lang w:val="en-US"/>
              </w:rPr>
              <w:t>考察部门对“三公经费”的控制程度。“三公经费”指因公出国（境）经费、公务车购置及运行费、公务招待费产生的消费。</w:t>
            </w:r>
          </w:p>
        </w:tc>
        <w:tc>
          <w:tcPr>
            <w:tcW w:w="1236" w:type="pct"/>
            <w:noWrap/>
            <w:tcMar>
              <w:top w:w="15" w:type="dxa"/>
              <w:left w:w="15" w:type="dxa"/>
              <w:right w:w="15" w:type="dxa"/>
            </w:tcMar>
            <w:vAlign w:val="center"/>
          </w:tcPr>
          <w:p w14:paraId="6E5C26F2">
            <w:pPr>
              <w:pStyle w:val="21"/>
              <w:spacing w:line="240" w:lineRule="auto"/>
              <w:jc w:val="left"/>
              <w:rPr>
                <w:rFonts w:cs="Times New Roman"/>
              </w:rPr>
            </w:pPr>
            <w:r>
              <w:rPr>
                <w:rFonts w:hint="eastAsia" w:ascii="宋体" w:hAnsi="宋体" w:eastAsia="宋体"/>
                <w:lang w:val="en-US"/>
              </w:rPr>
              <w:t>①</w:t>
            </w:r>
            <w:r>
              <w:rPr>
                <w:rFonts w:cs="Times New Roman"/>
                <w:lang w:val="en-US"/>
              </w:rPr>
              <w:t>因公出国（境）经费；</w:t>
            </w:r>
            <w:r>
              <w:rPr>
                <w:rFonts w:hint="eastAsia" w:ascii="宋体" w:hAnsi="宋体" w:eastAsia="宋体"/>
                <w:lang w:val="en-US"/>
              </w:rPr>
              <w:t>②</w:t>
            </w:r>
            <w:r>
              <w:rPr>
                <w:rFonts w:cs="Times New Roman"/>
                <w:lang w:val="en-US"/>
              </w:rPr>
              <w:t>公务车购置及运行费；</w:t>
            </w:r>
            <w:r>
              <w:rPr>
                <w:rFonts w:hint="eastAsia" w:ascii="宋体" w:hAnsi="宋体" w:eastAsia="宋体"/>
                <w:lang w:val="en-US"/>
              </w:rPr>
              <w:t>③</w:t>
            </w:r>
            <w:r>
              <w:rPr>
                <w:rFonts w:cs="Times New Roman"/>
                <w:lang w:val="en-US"/>
              </w:rPr>
              <w:t>公务招待费产生的消费。以上三项均未超出预算（以财政批复的最终调整预算为准），则得全部权重分，否则不得分。</w:t>
            </w:r>
          </w:p>
        </w:tc>
        <w:tc>
          <w:tcPr>
            <w:tcW w:w="340" w:type="pct"/>
            <w:noWrap/>
            <w:tcMar>
              <w:top w:w="15" w:type="dxa"/>
              <w:left w:w="15" w:type="dxa"/>
              <w:right w:w="15" w:type="dxa"/>
            </w:tcMar>
            <w:vAlign w:val="center"/>
          </w:tcPr>
          <w:p w14:paraId="53567422">
            <w:pPr>
              <w:pStyle w:val="21"/>
              <w:spacing w:line="240" w:lineRule="auto"/>
              <w:rPr>
                <w:rFonts w:eastAsia="宋体" w:cs="Times New Roman"/>
                <w:lang w:val="en-US"/>
              </w:rPr>
            </w:pPr>
            <w:r>
              <w:rPr>
                <w:rFonts w:cs="Times New Roman"/>
                <w:lang w:val="en-US"/>
              </w:rPr>
              <w:t>有效</w:t>
            </w:r>
          </w:p>
        </w:tc>
        <w:tc>
          <w:tcPr>
            <w:tcW w:w="319" w:type="pct"/>
            <w:noWrap/>
            <w:tcMar>
              <w:top w:w="15" w:type="dxa"/>
              <w:left w:w="15" w:type="dxa"/>
              <w:right w:w="15" w:type="dxa"/>
            </w:tcMar>
            <w:vAlign w:val="center"/>
          </w:tcPr>
          <w:p w14:paraId="37EEF954">
            <w:pPr>
              <w:pStyle w:val="21"/>
              <w:spacing w:line="240" w:lineRule="auto"/>
              <w:rPr>
                <w:rFonts w:eastAsia="宋体" w:cs="Times New Roman"/>
                <w:lang w:val="en-US"/>
              </w:rPr>
            </w:pPr>
            <w:r>
              <w:rPr>
                <w:rFonts w:eastAsia="宋体" w:cs="Times New Roman"/>
                <w:lang w:val="en-US"/>
              </w:rPr>
              <w:t>1</w:t>
            </w:r>
          </w:p>
        </w:tc>
        <w:tc>
          <w:tcPr>
            <w:tcW w:w="319" w:type="pct"/>
            <w:noWrap/>
            <w:tcMar>
              <w:top w:w="15" w:type="dxa"/>
              <w:left w:w="15" w:type="dxa"/>
              <w:right w:w="15" w:type="dxa"/>
            </w:tcMar>
            <w:vAlign w:val="center"/>
          </w:tcPr>
          <w:p w14:paraId="70DEA6C0">
            <w:pPr>
              <w:pStyle w:val="21"/>
              <w:spacing w:line="240" w:lineRule="auto"/>
              <w:rPr>
                <w:rFonts w:eastAsia="宋体" w:cs="Times New Roman"/>
                <w:lang w:val="en-US"/>
              </w:rPr>
            </w:pPr>
          </w:p>
        </w:tc>
      </w:tr>
      <w:tr w14:paraId="2136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295" w:type="pct"/>
            <w:vMerge w:val="continue"/>
            <w:tcMar>
              <w:top w:w="15" w:type="dxa"/>
              <w:left w:w="15" w:type="dxa"/>
              <w:right w:w="15" w:type="dxa"/>
            </w:tcMar>
            <w:vAlign w:val="center"/>
          </w:tcPr>
          <w:p w14:paraId="7077FC34">
            <w:pPr>
              <w:pStyle w:val="21"/>
              <w:spacing w:line="240" w:lineRule="auto"/>
              <w:jc w:val="left"/>
              <w:rPr>
                <w:rFonts w:cs="Times New Roman"/>
              </w:rPr>
            </w:pPr>
          </w:p>
        </w:tc>
        <w:tc>
          <w:tcPr>
            <w:tcW w:w="379" w:type="pct"/>
            <w:vMerge w:val="continue"/>
            <w:tcMar>
              <w:top w:w="15" w:type="dxa"/>
              <w:left w:w="15" w:type="dxa"/>
              <w:right w:w="15" w:type="dxa"/>
            </w:tcMar>
            <w:vAlign w:val="center"/>
          </w:tcPr>
          <w:p w14:paraId="26CF354A">
            <w:pPr>
              <w:pStyle w:val="21"/>
              <w:spacing w:line="240" w:lineRule="auto"/>
              <w:jc w:val="left"/>
              <w:rPr>
                <w:rFonts w:cs="Times New Roman"/>
              </w:rPr>
            </w:pPr>
          </w:p>
        </w:tc>
        <w:tc>
          <w:tcPr>
            <w:tcW w:w="502" w:type="pct"/>
            <w:tcMar>
              <w:top w:w="15" w:type="dxa"/>
              <w:left w:w="15" w:type="dxa"/>
              <w:right w:w="15" w:type="dxa"/>
            </w:tcMar>
            <w:vAlign w:val="center"/>
          </w:tcPr>
          <w:p w14:paraId="25FD4A74">
            <w:pPr>
              <w:pStyle w:val="21"/>
              <w:spacing w:line="240" w:lineRule="auto"/>
              <w:jc w:val="left"/>
              <w:rPr>
                <w:rFonts w:cs="Times New Roman"/>
              </w:rPr>
            </w:pPr>
            <w:r>
              <w:rPr>
                <w:rFonts w:cs="Times New Roman"/>
                <w:lang w:val="en-US"/>
              </w:rPr>
              <w:t>B14预决算信息公开情况</w:t>
            </w:r>
          </w:p>
        </w:tc>
        <w:tc>
          <w:tcPr>
            <w:tcW w:w="355" w:type="pct"/>
            <w:tcMar>
              <w:top w:w="15" w:type="dxa"/>
              <w:left w:w="15" w:type="dxa"/>
              <w:right w:w="15" w:type="dxa"/>
            </w:tcMar>
            <w:vAlign w:val="center"/>
          </w:tcPr>
          <w:p w14:paraId="1BDBAA81">
            <w:pPr>
              <w:pStyle w:val="21"/>
              <w:spacing w:line="240" w:lineRule="auto"/>
              <w:rPr>
                <w:rFonts w:cs="Times New Roman"/>
              </w:rPr>
            </w:pPr>
            <w:r>
              <w:rPr>
                <w:rFonts w:cs="Times New Roman"/>
                <w:lang w:val="en-US"/>
              </w:rPr>
              <w:t>公开</w:t>
            </w:r>
          </w:p>
        </w:tc>
        <w:tc>
          <w:tcPr>
            <w:tcW w:w="229" w:type="pct"/>
            <w:tcMar>
              <w:top w:w="15" w:type="dxa"/>
              <w:left w:w="15" w:type="dxa"/>
              <w:right w:w="15" w:type="dxa"/>
            </w:tcMar>
            <w:vAlign w:val="center"/>
          </w:tcPr>
          <w:p w14:paraId="795B9D5A">
            <w:pPr>
              <w:pStyle w:val="21"/>
              <w:spacing w:line="240" w:lineRule="auto"/>
              <w:rPr>
                <w:rFonts w:cs="Times New Roman"/>
              </w:rPr>
            </w:pPr>
            <w:r>
              <w:rPr>
                <w:rFonts w:cs="Times New Roman"/>
                <w:lang w:val="en-US"/>
              </w:rPr>
              <w:t>1</w:t>
            </w:r>
          </w:p>
        </w:tc>
        <w:tc>
          <w:tcPr>
            <w:tcW w:w="1020" w:type="pct"/>
            <w:tcMar>
              <w:top w:w="15" w:type="dxa"/>
              <w:left w:w="15" w:type="dxa"/>
              <w:right w:w="15" w:type="dxa"/>
            </w:tcMar>
            <w:vAlign w:val="center"/>
          </w:tcPr>
          <w:p w14:paraId="2A47473F">
            <w:pPr>
              <w:pStyle w:val="21"/>
              <w:spacing w:line="240" w:lineRule="auto"/>
              <w:jc w:val="left"/>
              <w:rPr>
                <w:rFonts w:cs="Times New Roman"/>
              </w:rPr>
            </w:pPr>
            <w:r>
              <w:rPr>
                <w:rFonts w:cs="Times New Roman"/>
                <w:lang w:val="en-US"/>
              </w:rPr>
              <w:t>考察预决算信息是否在“双平台”进行公开，内容和时限是否符合要求。</w:t>
            </w:r>
          </w:p>
        </w:tc>
        <w:tc>
          <w:tcPr>
            <w:tcW w:w="1236" w:type="pct"/>
            <w:tcMar>
              <w:top w:w="15" w:type="dxa"/>
              <w:left w:w="15" w:type="dxa"/>
              <w:right w:w="15" w:type="dxa"/>
            </w:tcMar>
            <w:vAlign w:val="center"/>
          </w:tcPr>
          <w:p w14:paraId="23520AE4">
            <w:pPr>
              <w:pStyle w:val="21"/>
              <w:spacing w:line="240" w:lineRule="auto"/>
              <w:jc w:val="left"/>
              <w:rPr>
                <w:rFonts w:cs="Times New Roman"/>
              </w:rPr>
            </w:pPr>
            <w:r>
              <w:rPr>
                <w:rFonts w:hint="eastAsia" w:ascii="宋体" w:hAnsi="宋体" w:eastAsia="宋体"/>
                <w:lang w:val="en-US"/>
              </w:rPr>
              <w:t>①</w:t>
            </w:r>
            <w:r>
              <w:rPr>
                <w:rFonts w:cs="Times New Roman"/>
                <w:lang w:val="en-US"/>
              </w:rPr>
              <w:t>预决算信息汇总至主管部门，由主管部门在江苏省预决算公开统一平台和部门门户网站公开；</w:t>
            </w:r>
            <w:r>
              <w:rPr>
                <w:rFonts w:hint="eastAsia" w:ascii="宋体" w:hAnsi="宋体" w:eastAsia="宋体"/>
                <w:lang w:val="en-US"/>
              </w:rPr>
              <w:t>②</w:t>
            </w:r>
            <w:r>
              <w:rPr>
                <w:rFonts w:cs="Times New Roman"/>
                <w:lang w:val="en-US"/>
              </w:rPr>
              <w:t>按规定时限公开预决算信息。以上2项各占1/2权重分，符合得对应权重分，否则不得分。</w:t>
            </w:r>
          </w:p>
        </w:tc>
        <w:tc>
          <w:tcPr>
            <w:tcW w:w="340" w:type="pct"/>
            <w:tcMar>
              <w:top w:w="15" w:type="dxa"/>
              <w:left w:w="15" w:type="dxa"/>
              <w:right w:w="15" w:type="dxa"/>
            </w:tcMar>
            <w:vAlign w:val="center"/>
          </w:tcPr>
          <w:p w14:paraId="13530677">
            <w:pPr>
              <w:pStyle w:val="21"/>
              <w:spacing w:line="240" w:lineRule="auto"/>
              <w:rPr>
                <w:rFonts w:eastAsia="宋体" w:cs="Times New Roman"/>
                <w:lang w:val="en-US"/>
              </w:rPr>
            </w:pPr>
            <w:r>
              <w:rPr>
                <w:rFonts w:cs="Times New Roman"/>
                <w:lang w:val="en-US"/>
              </w:rPr>
              <w:t>公开</w:t>
            </w:r>
          </w:p>
        </w:tc>
        <w:tc>
          <w:tcPr>
            <w:tcW w:w="319" w:type="pct"/>
            <w:tcMar>
              <w:top w:w="15" w:type="dxa"/>
              <w:left w:w="15" w:type="dxa"/>
              <w:right w:w="15" w:type="dxa"/>
            </w:tcMar>
            <w:vAlign w:val="center"/>
          </w:tcPr>
          <w:p w14:paraId="5A5C9005">
            <w:pPr>
              <w:pStyle w:val="21"/>
              <w:spacing w:line="240" w:lineRule="auto"/>
              <w:rPr>
                <w:rFonts w:eastAsia="宋体" w:cs="Times New Roman"/>
                <w:lang w:val="en-US"/>
              </w:rPr>
            </w:pPr>
            <w:r>
              <w:rPr>
                <w:rFonts w:eastAsia="宋体" w:cs="Times New Roman"/>
                <w:lang w:val="en-US"/>
              </w:rPr>
              <w:t>1</w:t>
            </w:r>
          </w:p>
        </w:tc>
        <w:tc>
          <w:tcPr>
            <w:tcW w:w="319" w:type="pct"/>
            <w:tcMar>
              <w:top w:w="15" w:type="dxa"/>
              <w:left w:w="15" w:type="dxa"/>
              <w:right w:w="15" w:type="dxa"/>
            </w:tcMar>
            <w:vAlign w:val="center"/>
          </w:tcPr>
          <w:p w14:paraId="2C136510">
            <w:pPr>
              <w:pStyle w:val="21"/>
              <w:spacing w:line="240" w:lineRule="auto"/>
              <w:rPr>
                <w:rFonts w:eastAsia="宋体" w:cs="Times New Roman"/>
                <w:lang w:val="en-US"/>
              </w:rPr>
            </w:pPr>
          </w:p>
        </w:tc>
      </w:tr>
      <w:tr w14:paraId="11BE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295" w:type="pct"/>
            <w:vMerge w:val="continue"/>
            <w:tcMar>
              <w:top w:w="15" w:type="dxa"/>
              <w:left w:w="15" w:type="dxa"/>
              <w:right w:w="15" w:type="dxa"/>
            </w:tcMar>
            <w:vAlign w:val="center"/>
          </w:tcPr>
          <w:p w14:paraId="6CA5A47D">
            <w:pPr>
              <w:pStyle w:val="21"/>
              <w:spacing w:line="240" w:lineRule="auto"/>
              <w:jc w:val="left"/>
              <w:rPr>
                <w:rFonts w:cs="Times New Roman"/>
              </w:rPr>
            </w:pPr>
          </w:p>
        </w:tc>
        <w:tc>
          <w:tcPr>
            <w:tcW w:w="379" w:type="pct"/>
            <w:vMerge w:val="restart"/>
            <w:tcMar>
              <w:top w:w="15" w:type="dxa"/>
              <w:left w:w="15" w:type="dxa"/>
              <w:right w:w="15" w:type="dxa"/>
            </w:tcMar>
            <w:vAlign w:val="center"/>
          </w:tcPr>
          <w:p w14:paraId="424E0664">
            <w:pPr>
              <w:pStyle w:val="21"/>
              <w:spacing w:line="240" w:lineRule="auto"/>
              <w:jc w:val="left"/>
              <w:rPr>
                <w:rFonts w:cs="Times New Roman"/>
              </w:rPr>
            </w:pPr>
            <w:r>
              <w:rPr>
                <w:rFonts w:cs="Times New Roman"/>
                <w:lang w:val="en-US"/>
              </w:rPr>
              <w:t>B2收支管理</w:t>
            </w:r>
          </w:p>
        </w:tc>
        <w:tc>
          <w:tcPr>
            <w:tcW w:w="502" w:type="pct"/>
            <w:tcMar>
              <w:top w:w="15" w:type="dxa"/>
              <w:left w:w="15" w:type="dxa"/>
              <w:right w:w="15" w:type="dxa"/>
            </w:tcMar>
            <w:vAlign w:val="center"/>
          </w:tcPr>
          <w:p w14:paraId="348C8400">
            <w:pPr>
              <w:pStyle w:val="21"/>
              <w:spacing w:line="240" w:lineRule="auto"/>
              <w:jc w:val="left"/>
              <w:rPr>
                <w:rFonts w:cs="Times New Roman"/>
              </w:rPr>
            </w:pPr>
            <w:r>
              <w:rPr>
                <w:rFonts w:cs="Times New Roman"/>
                <w:lang w:val="en-US"/>
              </w:rPr>
              <w:t>B21收支管理制度健全性</w:t>
            </w:r>
          </w:p>
        </w:tc>
        <w:tc>
          <w:tcPr>
            <w:tcW w:w="355" w:type="pct"/>
            <w:tcMar>
              <w:top w:w="15" w:type="dxa"/>
              <w:left w:w="15" w:type="dxa"/>
              <w:right w:w="15" w:type="dxa"/>
            </w:tcMar>
            <w:vAlign w:val="center"/>
          </w:tcPr>
          <w:p w14:paraId="536F98E5">
            <w:pPr>
              <w:pStyle w:val="21"/>
              <w:spacing w:line="240" w:lineRule="auto"/>
              <w:rPr>
                <w:rFonts w:cs="Times New Roman"/>
              </w:rPr>
            </w:pPr>
            <w:r>
              <w:rPr>
                <w:rFonts w:cs="Times New Roman"/>
                <w:lang w:val="en-US"/>
              </w:rPr>
              <w:t>健全</w:t>
            </w:r>
          </w:p>
        </w:tc>
        <w:tc>
          <w:tcPr>
            <w:tcW w:w="229" w:type="pct"/>
            <w:tcMar>
              <w:top w:w="15" w:type="dxa"/>
              <w:left w:w="15" w:type="dxa"/>
              <w:right w:w="15" w:type="dxa"/>
            </w:tcMar>
            <w:vAlign w:val="center"/>
          </w:tcPr>
          <w:p w14:paraId="6BBA1268">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4B8A560A">
            <w:pPr>
              <w:pStyle w:val="21"/>
              <w:spacing w:line="240" w:lineRule="auto"/>
              <w:jc w:val="left"/>
              <w:rPr>
                <w:rFonts w:cs="Times New Roman"/>
              </w:rPr>
            </w:pPr>
            <w:r>
              <w:rPr>
                <w:rFonts w:cs="Times New Roman"/>
                <w:lang w:val="en-US"/>
              </w:rPr>
              <w:t>考察部门的收支管理制度是否健全完整，是否执行到位。</w:t>
            </w:r>
          </w:p>
        </w:tc>
        <w:tc>
          <w:tcPr>
            <w:tcW w:w="1236" w:type="pct"/>
            <w:tcMar>
              <w:top w:w="15" w:type="dxa"/>
              <w:left w:w="15" w:type="dxa"/>
              <w:right w:w="15" w:type="dxa"/>
            </w:tcMar>
            <w:vAlign w:val="center"/>
          </w:tcPr>
          <w:p w14:paraId="274F4B72">
            <w:pPr>
              <w:pStyle w:val="21"/>
              <w:spacing w:line="240" w:lineRule="auto"/>
              <w:jc w:val="left"/>
              <w:rPr>
                <w:rFonts w:cs="Times New Roman"/>
              </w:rPr>
            </w:pPr>
            <w:r>
              <w:rPr>
                <w:rFonts w:hint="eastAsia" w:ascii="宋体" w:hAnsi="宋体" w:eastAsia="宋体"/>
                <w:lang w:val="en-US"/>
              </w:rPr>
              <w:t>①</w:t>
            </w:r>
            <w:r>
              <w:rPr>
                <w:rFonts w:cs="Times New Roman"/>
                <w:lang w:val="en-US"/>
              </w:rPr>
              <w:t>是否有适用的部门收支管理制度；</w:t>
            </w:r>
            <w:r>
              <w:rPr>
                <w:rFonts w:hint="eastAsia" w:ascii="宋体" w:hAnsi="宋体" w:eastAsia="宋体"/>
                <w:lang w:val="en-US"/>
              </w:rPr>
              <w:t>②</w:t>
            </w:r>
            <w:r>
              <w:rPr>
                <w:rFonts w:cs="Times New Roman"/>
                <w:lang w:val="en-US"/>
              </w:rPr>
              <w:t>收支管理制度符合相关法律法规如《中华人民共和国预算法》、《中华人民共和国会计法》的要求，内容包括收入管理、支出管理等方面。以上2项各占1/2权重分，符合得对应权重分，否则不得分。</w:t>
            </w:r>
          </w:p>
        </w:tc>
        <w:tc>
          <w:tcPr>
            <w:tcW w:w="340" w:type="pct"/>
            <w:tcMar>
              <w:top w:w="15" w:type="dxa"/>
              <w:left w:w="15" w:type="dxa"/>
              <w:right w:w="15" w:type="dxa"/>
            </w:tcMar>
            <w:vAlign w:val="center"/>
          </w:tcPr>
          <w:p w14:paraId="12B0A1ED">
            <w:pPr>
              <w:pStyle w:val="21"/>
              <w:spacing w:line="240" w:lineRule="auto"/>
              <w:rPr>
                <w:rFonts w:eastAsia="宋体" w:cs="Times New Roman"/>
                <w:lang w:val="en-US"/>
              </w:rPr>
            </w:pPr>
            <w:r>
              <w:rPr>
                <w:rFonts w:cs="Times New Roman"/>
                <w:lang w:val="en-US"/>
              </w:rPr>
              <w:t>健全</w:t>
            </w:r>
          </w:p>
        </w:tc>
        <w:tc>
          <w:tcPr>
            <w:tcW w:w="319" w:type="pct"/>
            <w:tcMar>
              <w:top w:w="15" w:type="dxa"/>
              <w:left w:w="15" w:type="dxa"/>
              <w:right w:w="15" w:type="dxa"/>
            </w:tcMar>
            <w:vAlign w:val="center"/>
          </w:tcPr>
          <w:p w14:paraId="3FDD5031">
            <w:pPr>
              <w:pStyle w:val="21"/>
              <w:spacing w:line="240" w:lineRule="auto"/>
              <w:rPr>
                <w:rFonts w:eastAsia="宋体" w:cs="Times New Roman"/>
                <w:lang w:val="en-US"/>
              </w:rPr>
            </w:pPr>
            <w:r>
              <w:rPr>
                <w:rFonts w:eastAsia="宋体" w:cs="Times New Roman"/>
                <w:lang w:val="en-US"/>
              </w:rPr>
              <w:t>2</w:t>
            </w:r>
          </w:p>
        </w:tc>
        <w:tc>
          <w:tcPr>
            <w:tcW w:w="319" w:type="pct"/>
            <w:tcMar>
              <w:top w:w="15" w:type="dxa"/>
              <w:left w:w="15" w:type="dxa"/>
              <w:right w:w="15" w:type="dxa"/>
            </w:tcMar>
            <w:vAlign w:val="center"/>
          </w:tcPr>
          <w:p w14:paraId="35A43966">
            <w:pPr>
              <w:pStyle w:val="21"/>
              <w:spacing w:line="240" w:lineRule="auto"/>
              <w:rPr>
                <w:rFonts w:eastAsia="宋体" w:cs="Times New Roman"/>
                <w:lang w:val="en-US"/>
              </w:rPr>
            </w:pPr>
          </w:p>
        </w:tc>
      </w:tr>
      <w:tr w14:paraId="255F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490706E4">
            <w:pPr>
              <w:pStyle w:val="21"/>
              <w:spacing w:line="240" w:lineRule="auto"/>
              <w:jc w:val="left"/>
              <w:rPr>
                <w:rFonts w:cs="Times New Roman"/>
              </w:rPr>
            </w:pPr>
          </w:p>
        </w:tc>
        <w:tc>
          <w:tcPr>
            <w:tcW w:w="379" w:type="pct"/>
            <w:vMerge w:val="continue"/>
            <w:tcMar>
              <w:top w:w="15" w:type="dxa"/>
              <w:left w:w="15" w:type="dxa"/>
              <w:right w:w="15" w:type="dxa"/>
            </w:tcMar>
            <w:vAlign w:val="center"/>
          </w:tcPr>
          <w:p w14:paraId="4CFB5565">
            <w:pPr>
              <w:pStyle w:val="21"/>
              <w:spacing w:line="240" w:lineRule="auto"/>
              <w:jc w:val="left"/>
              <w:rPr>
                <w:rFonts w:cs="Times New Roman"/>
              </w:rPr>
            </w:pPr>
          </w:p>
        </w:tc>
        <w:tc>
          <w:tcPr>
            <w:tcW w:w="502" w:type="pct"/>
            <w:tcMar>
              <w:top w:w="15" w:type="dxa"/>
              <w:left w:w="15" w:type="dxa"/>
              <w:right w:w="15" w:type="dxa"/>
            </w:tcMar>
            <w:vAlign w:val="center"/>
          </w:tcPr>
          <w:p w14:paraId="6FA81C5F">
            <w:pPr>
              <w:pStyle w:val="21"/>
              <w:spacing w:line="240" w:lineRule="auto"/>
              <w:jc w:val="left"/>
              <w:rPr>
                <w:rFonts w:cs="Times New Roman"/>
              </w:rPr>
            </w:pPr>
            <w:r>
              <w:rPr>
                <w:rFonts w:cs="Times New Roman"/>
                <w:lang w:val="en-US"/>
              </w:rPr>
              <w:t>B22收支管理规范性</w:t>
            </w:r>
          </w:p>
        </w:tc>
        <w:tc>
          <w:tcPr>
            <w:tcW w:w="355" w:type="pct"/>
            <w:tcMar>
              <w:top w:w="15" w:type="dxa"/>
              <w:left w:w="15" w:type="dxa"/>
              <w:right w:w="15" w:type="dxa"/>
            </w:tcMar>
            <w:vAlign w:val="center"/>
          </w:tcPr>
          <w:p w14:paraId="763E4799">
            <w:pPr>
              <w:pStyle w:val="21"/>
              <w:spacing w:line="240" w:lineRule="auto"/>
              <w:rPr>
                <w:rFonts w:cs="Times New Roman"/>
              </w:rPr>
            </w:pPr>
            <w:r>
              <w:rPr>
                <w:rFonts w:cs="Times New Roman"/>
                <w:lang w:val="en-US"/>
              </w:rPr>
              <w:t>规范</w:t>
            </w:r>
          </w:p>
        </w:tc>
        <w:tc>
          <w:tcPr>
            <w:tcW w:w="229" w:type="pct"/>
            <w:tcMar>
              <w:top w:w="15" w:type="dxa"/>
              <w:left w:w="15" w:type="dxa"/>
              <w:right w:w="15" w:type="dxa"/>
            </w:tcMar>
            <w:vAlign w:val="center"/>
          </w:tcPr>
          <w:p w14:paraId="6D75F3CF">
            <w:pPr>
              <w:pStyle w:val="21"/>
              <w:spacing w:line="240" w:lineRule="auto"/>
              <w:rPr>
                <w:rFonts w:cs="Times New Roman"/>
                <w:lang w:val="en-US"/>
              </w:rPr>
            </w:pPr>
            <w:r>
              <w:rPr>
                <w:rFonts w:cs="Times New Roman"/>
                <w:lang w:val="en-US"/>
              </w:rPr>
              <w:t>1</w:t>
            </w:r>
          </w:p>
        </w:tc>
        <w:tc>
          <w:tcPr>
            <w:tcW w:w="1020" w:type="pct"/>
            <w:tcMar>
              <w:top w:w="15" w:type="dxa"/>
              <w:left w:w="15" w:type="dxa"/>
              <w:right w:w="15" w:type="dxa"/>
            </w:tcMar>
            <w:vAlign w:val="center"/>
          </w:tcPr>
          <w:p w14:paraId="1715CE1C">
            <w:pPr>
              <w:pStyle w:val="21"/>
              <w:spacing w:line="240" w:lineRule="auto"/>
              <w:jc w:val="left"/>
              <w:rPr>
                <w:rFonts w:cs="Times New Roman"/>
              </w:rPr>
            </w:pPr>
            <w:r>
              <w:rPr>
                <w:rFonts w:cs="Times New Roman"/>
                <w:lang w:val="en-US"/>
              </w:rPr>
              <w:t>考察部门收支管理是否规范。</w:t>
            </w:r>
          </w:p>
        </w:tc>
        <w:tc>
          <w:tcPr>
            <w:tcW w:w="1236" w:type="pct"/>
            <w:tcMar>
              <w:top w:w="15" w:type="dxa"/>
              <w:left w:w="15" w:type="dxa"/>
              <w:right w:w="15" w:type="dxa"/>
            </w:tcMar>
            <w:vAlign w:val="center"/>
          </w:tcPr>
          <w:p w14:paraId="0F06DB65">
            <w:pPr>
              <w:pStyle w:val="21"/>
              <w:spacing w:line="240" w:lineRule="auto"/>
              <w:jc w:val="left"/>
              <w:rPr>
                <w:rFonts w:cs="Times New Roman"/>
              </w:rPr>
            </w:pPr>
            <w:r>
              <w:rPr>
                <w:rFonts w:hint="eastAsia" w:ascii="宋体" w:hAnsi="宋体" w:eastAsia="宋体"/>
                <w:lang w:val="en-US"/>
              </w:rPr>
              <w:t>①</w:t>
            </w:r>
            <w:r>
              <w:rPr>
                <w:rFonts w:cs="Times New Roman"/>
                <w:lang w:val="en-US"/>
              </w:rPr>
              <w:t>部门收支管理按照收支管理制度执行；</w:t>
            </w:r>
            <w:r>
              <w:rPr>
                <w:rFonts w:hint="eastAsia" w:ascii="宋体" w:hAnsi="宋体" w:eastAsia="宋体"/>
                <w:lang w:val="en-US"/>
              </w:rPr>
              <w:t>②</w:t>
            </w:r>
            <w:r>
              <w:rPr>
                <w:rFonts w:cs="Times New Roman"/>
                <w:lang w:val="en-US"/>
              </w:rPr>
              <w:t>收支管理程序明确、清晰；</w:t>
            </w:r>
            <w:r>
              <w:rPr>
                <w:rFonts w:hint="eastAsia" w:ascii="宋体" w:hAnsi="宋体" w:eastAsia="宋体"/>
                <w:lang w:val="en-US"/>
              </w:rPr>
              <w:t>③</w:t>
            </w:r>
            <w:r>
              <w:rPr>
                <w:rFonts w:cs="Times New Roman"/>
                <w:lang w:val="en-US"/>
              </w:rPr>
              <w:t>收支管理有专人负责。以上3项各占1/3权重分，符合得对应权重分，否则不得分。</w:t>
            </w:r>
          </w:p>
        </w:tc>
        <w:tc>
          <w:tcPr>
            <w:tcW w:w="340" w:type="pct"/>
            <w:tcMar>
              <w:top w:w="15" w:type="dxa"/>
              <w:left w:w="15" w:type="dxa"/>
              <w:right w:w="15" w:type="dxa"/>
            </w:tcMar>
            <w:vAlign w:val="center"/>
          </w:tcPr>
          <w:p w14:paraId="72E4FFB2">
            <w:pPr>
              <w:pStyle w:val="21"/>
              <w:spacing w:line="240" w:lineRule="auto"/>
              <w:rPr>
                <w:rFonts w:eastAsia="宋体" w:cs="Times New Roman"/>
                <w:lang w:val="en-US"/>
              </w:rPr>
            </w:pPr>
            <w:r>
              <w:rPr>
                <w:rFonts w:cs="Times New Roman"/>
                <w:lang w:val="en-US"/>
              </w:rPr>
              <w:t>规范</w:t>
            </w:r>
          </w:p>
        </w:tc>
        <w:tc>
          <w:tcPr>
            <w:tcW w:w="319" w:type="pct"/>
            <w:tcMar>
              <w:top w:w="15" w:type="dxa"/>
              <w:left w:w="15" w:type="dxa"/>
              <w:right w:w="15" w:type="dxa"/>
            </w:tcMar>
            <w:vAlign w:val="center"/>
          </w:tcPr>
          <w:p w14:paraId="6B61D8BF">
            <w:pPr>
              <w:pStyle w:val="21"/>
              <w:spacing w:line="240" w:lineRule="auto"/>
              <w:rPr>
                <w:rFonts w:eastAsia="宋体" w:cs="Times New Roman"/>
                <w:lang w:val="en-US"/>
              </w:rPr>
            </w:pPr>
            <w:r>
              <w:rPr>
                <w:rFonts w:eastAsia="宋体" w:cs="Times New Roman"/>
                <w:lang w:val="en-US"/>
              </w:rPr>
              <w:t>1</w:t>
            </w:r>
          </w:p>
        </w:tc>
        <w:tc>
          <w:tcPr>
            <w:tcW w:w="319" w:type="pct"/>
            <w:tcMar>
              <w:top w:w="15" w:type="dxa"/>
              <w:left w:w="15" w:type="dxa"/>
              <w:right w:w="15" w:type="dxa"/>
            </w:tcMar>
            <w:vAlign w:val="center"/>
          </w:tcPr>
          <w:p w14:paraId="26471ECF">
            <w:pPr>
              <w:pStyle w:val="21"/>
              <w:spacing w:line="240" w:lineRule="auto"/>
              <w:rPr>
                <w:rFonts w:eastAsia="宋体" w:cs="Times New Roman"/>
                <w:lang w:val="en-US"/>
              </w:rPr>
            </w:pPr>
          </w:p>
        </w:tc>
      </w:tr>
      <w:tr w14:paraId="5689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295" w:type="pct"/>
            <w:vMerge w:val="continue"/>
            <w:tcMar>
              <w:top w:w="15" w:type="dxa"/>
              <w:left w:w="15" w:type="dxa"/>
              <w:right w:w="15" w:type="dxa"/>
            </w:tcMar>
            <w:vAlign w:val="center"/>
          </w:tcPr>
          <w:p w14:paraId="06790259">
            <w:pPr>
              <w:pStyle w:val="21"/>
              <w:spacing w:line="240" w:lineRule="auto"/>
              <w:jc w:val="left"/>
              <w:rPr>
                <w:rFonts w:cs="Times New Roman"/>
              </w:rPr>
            </w:pPr>
          </w:p>
        </w:tc>
        <w:tc>
          <w:tcPr>
            <w:tcW w:w="379" w:type="pct"/>
            <w:vMerge w:val="restart"/>
            <w:tcMar>
              <w:top w:w="15" w:type="dxa"/>
              <w:left w:w="15" w:type="dxa"/>
              <w:right w:w="15" w:type="dxa"/>
            </w:tcMar>
            <w:vAlign w:val="center"/>
          </w:tcPr>
          <w:p w14:paraId="39ADB9FF">
            <w:pPr>
              <w:pStyle w:val="21"/>
              <w:spacing w:line="240" w:lineRule="auto"/>
              <w:jc w:val="left"/>
              <w:rPr>
                <w:rFonts w:cs="Times New Roman"/>
              </w:rPr>
            </w:pPr>
            <w:r>
              <w:rPr>
                <w:rFonts w:cs="Times New Roman"/>
                <w:lang w:val="en-US"/>
              </w:rPr>
              <w:t>B3资产管理</w:t>
            </w:r>
          </w:p>
        </w:tc>
        <w:tc>
          <w:tcPr>
            <w:tcW w:w="502" w:type="pct"/>
            <w:tcMar>
              <w:top w:w="15" w:type="dxa"/>
              <w:left w:w="15" w:type="dxa"/>
              <w:right w:w="15" w:type="dxa"/>
            </w:tcMar>
            <w:vAlign w:val="center"/>
          </w:tcPr>
          <w:p w14:paraId="56FA635F">
            <w:pPr>
              <w:pStyle w:val="21"/>
              <w:spacing w:line="240" w:lineRule="auto"/>
              <w:jc w:val="left"/>
              <w:rPr>
                <w:rFonts w:cs="Times New Roman"/>
              </w:rPr>
            </w:pPr>
            <w:r>
              <w:rPr>
                <w:rFonts w:cs="Times New Roman"/>
                <w:lang w:val="en-US"/>
              </w:rPr>
              <w:t>B31资产管理制度健全性</w:t>
            </w:r>
          </w:p>
        </w:tc>
        <w:tc>
          <w:tcPr>
            <w:tcW w:w="355" w:type="pct"/>
            <w:tcMar>
              <w:top w:w="15" w:type="dxa"/>
              <w:left w:w="15" w:type="dxa"/>
              <w:right w:w="15" w:type="dxa"/>
            </w:tcMar>
            <w:vAlign w:val="center"/>
          </w:tcPr>
          <w:p w14:paraId="373BD89E">
            <w:pPr>
              <w:pStyle w:val="21"/>
              <w:spacing w:line="240" w:lineRule="auto"/>
              <w:rPr>
                <w:rFonts w:cs="Times New Roman"/>
              </w:rPr>
            </w:pPr>
            <w:r>
              <w:rPr>
                <w:rFonts w:cs="Times New Roman"/>
                <w:lang w:val="en-US"/>
              </w:rPr>
              <w:t>健全</w:t>
            </w:r>
          </w:p>
        </w:tc>
        <w:tc>
          <w:tcPr>
            <w:tcW w:w="229" w:type="pct"/>
            <w:tcMar>
              <w:top w:w="15" w:type="dxa"/>
              <w:left w:w="15" w:type="dxa"/>
              <w:right w:w="15" w:type="dxa"/>
            </w:tcMar>
            <w:vAlign w:val="center"/>
          </w:tcPr>
          <w:p w14:paraId="29A60789">
            <w:pPr>
              <w:pStyle w:val="21"/>
              <w:spacing w:line="240" w:lineRule="auto"/>
              <w:rPr>
                <w:rFonts w:cs="Times New Roman"/>
              </w:rPr>
            </w:pPr>
            <w:r>
              <w:rPr>
                <w:rFonts w:cs="Times New Roman"/>
                <w:lang w:val="en-US"/>
              </w:rPr>
              <w:t>2</w:t>
            </w:r>
          </w:p>
        </w:tc>
        <w:tc>
          <w:tcPr>
            <w:tcW w:w="1020" w:type="pct"/>
            <w:noWrap/>
            <w:tcMar>
              <w:top w:w="15" w:type="dxa"/>
              <w:left w:w="15" w:type="dxa"/>
              <w:right w:w="15" w:type="dxa"/>
            </w:tcMar>
            <w:vAlign w:val="center"/>
          </w:tcPr>
          <w:p w14:paraId="10AE9C53">
            <w:pPr>
              <w:pStyle w:val="21"/>
              <w:spacing w:line="240" w:lineRule="auto"/>
              <w:jc w:val="left"/>
              <w:rPr>
                <w:rFonts w:cs="Times New Roman"/>
              </w:rPr>
            </w:pPr>
            <w:r>
              <w:rPr>
                <w:rFonts w:cs="Times New Roman"/>
                <w:lang w:val="en-US"/>
              </w:rPr>
              <w:t>考察部门为加强资产管理、规范资产管理行为而制定的管理制度是否健全完整。</w:t>
            </w:r>
          </w:p>
        </w:tc>
        <w:tc>
          <w:tcPr>
            <w:tcW w:w="1236" w:type="pct"/>
            <w:noWrap/>
            <w:tcMar>
              <w:top w:w="15" w:type="dxa"/>
              <w:left w:w="15" w:type="dxa"/>
              <w:right w:w="15" w:type="dxa"/>
            </w:tcMar>
            <w:vAlign w:val="center"/>
          </w:tcPr>
          <w:p w14:paraId="27505C3E">
            <w:pPr>
              <w:pStyle w:val="21"/>
              <w:spacing w:line="240" w:lineRule="auto"/>
              <w:jc w:val="left"/>
              <w:rPr>
                <w:rFonts w:cs="Times New Roman"/>
              </w:rPr>
            </w:pPr>
            <w:r>
              <w:rPr>
                <w:rFonts w:hint="eastAsia" w:ascii="宋体" w:hAnsi="宋体" w:eastAsia="宋体"/>
                <w:lang w:val="en-US"/>
              </w:rPr>
              <w:t>①</w:t>
            </w:r>
            <w:r>
              <w:rPr>
                <w:rFonts w:cs="Times New Roman"/>
                <w:lang w:val="en-US"/>
              </w:rPr>
              <w:t>是否有适用的资产管理制度；</w:t>
            </w:r>
            <w:r>
              <w:rPr>
                <w:rFonts w:hint="eastAsia" w:ascii="宋体" w:hAnsi="宋体" w:eastAsia="宋体"/>
                <w:lang w:val="en-US"/>
              </w:rPr>
              <w:t>②</w:t>
            </w:r>
            <w:r>
              <w:rPr>
                <w:rFonts w:cs="Times New Roman"/>
                <w:lang w:val="en-US"/>
              </w:rPr>
              <w:t>相关资产管理制度是否合法、合规、完整；</w:t>
            </w:r>
            <w:r>
              <w:rPr>
                <w:rFonts w:hint="eastAsia" w:ascii="宋体" w:hAnsi="宋体" w:eastAsia="宋体"/>
                <w:lang w:val="en-US"/>
              </w:rPr>
              <w:t>③</w:t>
            </w:r>
            <w:r>
              <w:rPr>
                <w:rFonts w:cs="Times New Roman"/>
                <w:lang w:val="en-US"/>
              </w:rPr>
              <w:t>资产管理制度中对资产配置、资产使用、资产处置、资产清查等方面进行全面规定。以上3项各占1/3权重分，符合得对应权重分，否则不得分。</w:t>
            </w:r>
          </w:p>
        </w:tc>
        <w:tc>
          <w:tcPr>
            <w:tcW w:w="340" w:type="pct"/>
            <w:noWrap/>
            <w:tcMar>
              <w:top w:w="15" w:type="dxa"/>
              <w:left w:w="15" w:type="dxa"/>
              <w:right w:w="15" w:type="dxa"/>
            </w:tcMar>
            <w:vAlign w:val="center"/>
          </w:tcPr>
          <w:p w14:paraId="43585F21">
            <w:pPr>
              <w:pStyle w:val="21"/>
              <w:spacing w:line="240" w:lineRule="auto"/>
              <w:rPr>
                <w:rFonts w:eastAsia="宋体" w:cs="Times New Roman"/>
                <w:lang w:val="en-US"/>
              </w:rPr>
            </w:pPr>
            <w:r>
              <w:rPr>
                <w:rFonts w:cs="Times New Roman"/>
                <w:lang w:val="en-US"/>
              </w:rPr>
              <w:t>健全</w:t>
            </w:r>
          </w:p>
        </w:tc>
        <w:tc>
          <w:tcPr>
            <w:tcW w:w="319" w:type="pct"/>
            <w:noWrap/>
            <w:tcMar>
              <w:top w:w="15" w:type="dxa"/>
              <w:left w:w="15" w:type="dxa"/>
              <w:right w:w="15" w:type="dxa"/>
            </w:tcMar>
            <w:vAlign w:val="center"/>
          </w:tcPr>
          <w:p w14:paraId="3DD4802E">
            <w:pPr>
              <w:pStyle w:val="21"/>
              <w:spacing w:line="240" w:lineRule="auto"/>
              <w:rPr>
                <w:rFonts w:eastAsia="宋体" w:cs="Times New Roman"/>
                <w:lang w:val="en-US"/>
              </w:rPr>
            </w:pPr>
            <w:r>
              <w:rPr>
                <w:rFonts w:eastAsia="宋体" w:cs="Times New Roman"/>
                <w:lang w:val="en-US"/>
              </w:rPr>
              <w:t>2</w:t>
            </w:r>
          </w:p>
        </w:tc>
        <w:tc>
          <w:tcPr>
            <w:tcW w:w="319" w:type="pct"/>
            <w:noWrap/>
            <w:tcMar>
              <w:top w:w="15" w:type="dxa"/>
              <w:left w:w="15" w:type="dxa"/>
              <w:right w:w="15" w:type="dxa"/>
            </w:tcMar>
            <w:vAlign w:val="center"/>
          </w:tcPr>
          <w:p w14:paraId="14CF74E0">
            <w:pPr>
              <w:pStyle w:val="21"/>
              <w:spacing w:line="240" w:lineRule="auto"/>
              <w:rPr>
                <w:rFonts w:eastAsia="宋体" w:cs="Times New Roman"/>
                <w:lang w:val="en-US"/>
              </w:rPr>
            </w:pPr>
          </w:p>
        </w:tc>
      </w:tr>
      <w:tr w14:paraId="7BD4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1E55738E">
            <w:pPr>
              <w:pStyle w:val="21"/>
              <w:spacing w:line="240" w:lineRule="auto"/>
              <w:jc w:val="left"/>
              <w:rPr>
                <w:rFonts w:cs="Times New Roman"/>
              </w:rPr>
            </w:pPr>
          </w:p>
        </w:tc>
        <w:tc>
          <w:tcPr>
            <w:tcW w:w="379" w:type="pct"/>
            <w:vMerge w:val="continue"/>
            <w:tcMar>
              <w:top w:w="15" w:type="dxa"/>
              <w:left w:w="15" w:type="dxa"/>
              <w:right w:w="15" w:type="dxa"/>
            </w:tcMar>
            <w:vAlign w:val="center"/>
          </w:tcPr>
          <w:p w14:paraId="78CB035B">
            <w:pPr>
              <w:pStyle w:val="21"/>
              <w:spacing w:line="240" w:lineRule="auto"/>
              <w:jc w:val="left"/>
              <w:rPr>
                <w:rFonts w:cs="Times New Roman"/>
              </w:rPr>
            </w:pPr>
          </w:p>
        </w:tc>
        <w:tc>
          <w:tcPr>
            <w:tcW w:w="502" w:type="pct"/>
            <w:tcMar>
              <w:top w:w="15" w:type="dxa"/>
              <w:left w:w="15" w:type="dxa"/>
              <w:right w:w="15" w:type="dxa"/>
            </w:tcMar>
            <w:vAlign w:val="center"/>
          </w:tcPr>
          <w:p w14:paraId="16D8769C">
            <w:pPr>
              <w:pStyle w:val="21"/>
              <w:spacing w:line="240" w:lineRule="auto"/>
              <w:jc w:val="left"/>
              <w:rPr>
                <w:rFonts w:cs="Times New Roman"/>
              </w:rPr>
            </w:pPr>
            <w:r>
              <w:rPr>
                <w:rFonts w:cs="Times New Roman"/>
                <w:lang w:val="en-US"/>
              </w:rPr>
              <w:t>B32资产管理规范性</w:t>
            </w:r>
          </w:p>
        </w:tc>
        <w:tc>
          <w:tcPr>
            <w:tcW w:w="355" w:type="pct"/>
            <w:tcMar>
              <w:top w:w="15" w:type="dxa"/>
              <w:left w:w="15" w:type="dxa"/>
              <w:right w:w="15" w:type="dxa"/>
            </w:tcMar>
            <w:vAlign w:val="center"/>
          </w:tcPr>
          <w:p w14:paraId="51C28DB4">
            <w:pPr>
              <w:pStyle w:val="21"/>
              <w:spacing w:line="240" w:lineRule="auto"/>
              <w:rPr>
                <w:rFonts w:cs="Times New Roman"/>
              </w:rPr>
            </w:pPr>
            <w:r>
              <w:rPr>
                <w:rFonts w:cs="Times New Roman"/>
                <w:lang w:val="en-US"/>
              </w:rPr>
              <w:t>规范</w:t>
            </w:r>
          </w:p>
        </w:tc>
        <w:tc>
          <w:tcPr>
            <w:tcW w:w="229" w:type="pct"/>
            <w:tcMar>
              <w:top w:w="15" w:type="dxa"/>
              <w:left w:w="15" w:type="dxa"/>
              <w:right w:w="15" w:type="dxa"/>
            </w:tcMar>
            <w:vAlign w:val="center"/>
          </w:tcPr>
          <w:p w14:paraId="3D30FB6F">
            <w:pPr>
              <w:pStyle w:val="21"/>
              <w:spacing w:line="240" w:lineRule="auto"/>
              <w:rPr>
                <w:rFonts w:cs="Times New Roman"/>
                <w:lang w:val="en-US"/>
              </w:rPr>
            </w:pPr>
            <w:r>
              <w:rPr>
                <w:rFonts w:cs="Times New Roman"/>
                <w:lang w:val="en-US"/>
              </w:rPr>
              <w:t>1</w:t>
            </w:r>
          </w:p>
        </w:tc>
        <w:tc>
          <w:tcPr>
            <w:tcW w:w="1020" w:type="pct"/>
            <w:tcMar>
              <w:top w:w="15" w:type="dxa"/>
              <w:left w:w="15" w:type="dxa"/>
              <w:right w:w="15" w:type="dxa"/>
            </w:tcMar>
            <w:vAlign w:val="center"/>
          </w:tcPr>
          <w:p w14:paraId="4D5044CF">
            <w:pPr>
              <w:pStyle w:val="21"/>
              <w:spacing w:line="240" w:lineRule="auto"/>
              <w:jc w:val="left"/>
              <w:rPr>
                <w:rFonts w:cs="Times New Roman"/>
              </w:rPr>
            </w:pPr>
            <w:r>
              <w:rPr>
                <w:rFonts w:cs="Times New Roman"/>
                <w:lang w:val="en-US"/>
              </w:rPr>
              <w:t>考察部门资产管理是否规范。</w:t>
            </w:r>
          </w:p>
        </w:tc>
        <w:tc>
          <w:tcPr>
            <w:tcW w:w="1236" w:type="pct"/>
            <w:tcMar>
              <w:top w:w="15" w:type="dxa"/>
              <w:left w:w="15" w:type="dxa"/>
              <w:right w:w="15" w:type="dxa"/>
            </w:tcMar>
            <w:vAlign w:val="center"/>
          </w:tcPr>
          <w:p w14:paraId="17CC04F3">
            <w:pPr>
              <w:pStyle w:val="21"/>
              <w:spacing w:line="240" w:lineRule="auto"/>
              <w:jc w:val="left"/>
              <w:rPr>
                <w:rFonts w:cs="Times New Roman"/>
              </w:rPr>
            </w:pPr>
            <w:r>
              <w:rPr>
                <w:rFonts w:hint="eastAsia" w:ascii="宋体" w:hAnsi="宋体" w:eastAsia="宋体"/>
                <w:lang w:val="en-US"/>
              </w:rPr>
              <w:t>①</w:t>
            </w:r>
            <w:r>
              <w:rPr>
                <w:rFonts w:cs="Times New Roman"/>
                <w:lang w:val="en-US"/>
              </w:rPr>
              <w:t>资产管理按照制度进行配置、使用、处置、清查等；</w:t>
            </w:r>
            <w:r>
              <w:rPr>
                <w:rFonts w:hint="eastAsia" w:ascii="宋体" w:hAnsi="宋体" w:eastAsia="宋体"/>
                <w:lang w:val="en-US"/>
              </w:rPr>
              <w:t>②</w:t>
            </w:r>
            <w:r>
              <w:rPr>
                <w:rFonts w:cs="Times New Roman"/>
                <w:lang w:val="en-US"/>
              </w:rPr>
              <w:t>资产管理有专人负责。以上2项各占1/2权重分，符合得对应权重分，否则不得分。</w:t>
            </w:r>
          </w:p>
        </w:tc>
        <w:tc>
          <w:tcPr>
            <w:tcW w:w="340" w:type="pct"/>
            <w:tcMar>
              <w:top w:w="15" w:type="dxa"/>
              <w:left w:w="15" w:type="dxa"/>
              <w:right w:w="15" w:type="dxa"/>
            </w:tcMar>
            <w:vAlign w:val="center"/>
          </w:tcPr>
          <w:p w14:paraId="65D1DDF5">
            <w:pPr>
              <w:pStyle w:val="21"/>
              <w:spacing w:line="240" w:lineRule="auto"/>
              <w:rPr>
                <w:rFonts w:eastAsia="宋体" w:cs="Times New Roman"/>
                <w:lang w:val="en-US"/>
              </w:rPr>
            </w:pPr>
            <w:r>
              <w:rPr>
                <w:rFonts w:cs="Times New Roman"/>
                <w:lang w:val="en-US"/>
              </w:rPr>
              <w:t>规范</w:t>
            </w:r>
          </w:p>
        </w:tc>
        <w:tc>
          <w:tcPr>
            <w:tcW w:w="319" w:type="pct"/>
            <w:tcMar>
              <w:top w:w="15" w:type="dxa"/>
              <w:left w:w="15" w:type="dxa"/>
              <w:right w:w="15" w:type="dxa"/>
            </w:tcMar>
            <w:vAlign w:val="center"/>
          </w:tcPr>
          <w:p w14:paraId="55C70438">
            <w:pPr>
              <w:pStyle w:val="21"/>
              <w:spacing w:line="240" w:lineRule="auto"/>
              <w:rPr>
                <w:rFonts w:eastAsia="宋体" w:cs="Times New Roman"/>
                <w:lang w:val="en-US"/>
              </w:rPr>
            </w:pPr>
            <w:r>
              <w:rPr>
                <w:rFonts w:eastAsia="宋体" w:cs="Times New Roman"/>
                <w:lang w:val="en-US"/>
              </w:rPr>
              <w:t>1</w:t>
            </w:r>
          </w:p>
        </w:tc>
        <w:tc>
          <w:tcPr>
            <w:tcW w:w="319" w:type="pct"/>
            <w:tcMar>
              <w:top w:w="15" w:type="dxa"/>
              <w:left w:w="15" w:type="dxa"/>
              <w:right w:w="15" w:type="dxa"/>
            </w:tcMar>
            <w:vAlign w:val="center"/>
          </w:tcPr>
          <w:p w14:paraId="10063DC7">
            <w:pPr>
              <w:pStyle w:val="21"/>
              <w:spacing w:line="240" w:lineRule="auto"/>
              <w:rPr>
                <w:rFonts w:eastAsia="宋体" w:cs="Times New Roman"/>
                <w:lang w:val="en-US"/>
              </w:rPr>
            </w:pPr>
          </w:p>
        </w:tc>
      </w:tr>
      <w:tr w14:paraId="0AA9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295" w:type="pct"/>
            <w:vMerge w:val="continue"/>
            <w:tcMar>
              <w:top w:w="15" w:type="dxa"/>
              <w:left w:w="15" w:type="dxa"/>
              <w:right w:w="15" w:type="dxa"/>
            </w:tcMar>
            <w:vAlign w:val="center"/>
          </w:tcPr>
          <w:p w14:paraId="36594F4B">
            <w:pPr>
              <w:pStyle w:val="21"/>
              <w:spacing w:line="240" w:lineRule="auto"/>
              <w:jc w:val="left"/>
              <w:rPr>
                <w:rFonts w:cs="Times New Roman"/>
              </w:rPr>
            </w:pPr>
          </w:p>
        </w:tc>
        <w:tc>
          <w:tcPr>
            <w:tcW w:w="379" w:type="pct"/>
            <w:vMerge w:val="restart"/>
            <w:tcMar>
              <w:top w:w="15" w:type="dxa"/>
              <w:left w:w="15" w:type="dxa"/>
              <w:right w:w="15" w:type="dxa"/>
            </w:tcMar>
            <w:vAlign w:val="center"/>
          </w:tcPr>
          <w:p w14:paraId="157F4E27">
            <w:pPr>
              <w:pStyle w:val="21"/>
              <w:spacing w:line="240" w:lineRule="auto"/>
              <w:jc w:val="left"/>
              <w:rPr>
                <w:rFonts w:cs="Times New Roman"/>
              </w:rPr>
            </w:pPr>
            <w:r>
              <w:rPr>
                <w:rFonts w:cs="Times New Roman"/>
                <w:lang w:val="en-US"/>
              </w:rPr>
              <w:t>B4政府采购管理</w:t>
            </w:r>
          </w:p>
        </w:tc>
        <w:tc>
          <w:tcPr>
            <w:tcW w:w="502" w:type="pct"/>
            <w:tcMar>
              <w:top w:w="15" w:type="dxa"/>
              <w:left w:w="15" w:type="dxa"/>
              <w:right w:w="15" w:type="dxa"/>
            </w:tcMar>
            <w:vAlign w:val="center"/>
          </w:tcPr>
          <w:p w14:paraId="3E0AE41D">
            <w:pPr>
              <w:pStyle w:val="21"/>
              <w:spacing w:line="240" w:lineRule="auto"/>
              <w:jc w:val="left"/>
              <w:rPr>
                <w:rFonts w:cs="Times New Roman"/>
              </w:rPr>
            </w:pPr>
            <w:r>
              <w:rPr>
                <w:rFonts w:cs="Times New Roman"/>
                <w:lang w:val="en-US"/>
              </w:rPr>
              <w:t>B41政府采购管理制度健全性</w:t>
            </w:r>
          </w:p>
        </w:tc>
        <w:tc>
          <w:tcPr>
            <w:tcW w:w="355" w:type="pct"/>
            <w:tcMar>
              <w:top w:w="15" w:type="dxa"/>
              <w:left w:w="15" w:type="dxa"/>
              <w:right w:w="15" w:type="dxa"/>
            </w:tcMar>
            <w:vAlign w:val="center"/>
          </w:tcPr>
          <w:p w14:paraId="3946DF65">
            <w:pPr>
              <w:pStyle w:val="21"/>
              <w:spacing w:line="240" w:lineRule="auto"/>
              <w:rPr>
                <w:rFonts w:cs="Times New Roman"/>
              </w:rPr>
            </w:pPr>
            <w:r>
              <w:rPr>
                <w:rFonts w:cs="Times New Roman"/>
                <w:lang w:val="en-US"/>
              </w:rPr>
              <w:t>健全</w:t>
            </w:r>
          </w:p>
        </w:tc>
        <w:tc>
          <w:tcPr>
            <w:tcW w:w="229" w:type="pct"/>
            <w:tcMar>
              <w:top w:w="15" w:type="dxa"/>
              <w:left w:w="15" w:type="dxa"/>
              <w:right w:w="15" w:type="dxa"/>
            </w:tcMar>
            <w:vAlign w:val="center"/>
          </w:tcPr>
          <w:p w14:paraId="22B4544C">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29BA60B8">
            <w:pPr>
              <w:pStyle w:val="21"/>
              <w:spacing w:line="240" w:lineRule="auto"/>
              <w:jc w:val="left"/>
              <w:rPr>
                <w:rFonts w:cs="Times New Roman"/>
              </w:rPr>
            </w:pPr>
            <w:r>
              <w:rPr>
                <w:rFonts w:cs="Times New Roman"/>
                <w:lang w:val="en-US"/>
              </w:rPr>
              <w:t>考察部门为加强采购管理、规范采购管理行为而制定的管理制度是否健全完整。</w:t>
            </w:r>
          </w:p>
        </w:tc>
        <w:tc>
          <w:tcPr>
            <w:tcW w:w="1236" w:type="pct"/>
            <w:noWrap/>
            <w:tcMar>
              <w:top w:w="15" w:type="dxa"/>
              <w:left w:w="15" w:type="dxa"/>
              <w:right w:w="15" w:type="dxa"/>
            </w:tcMar>
            <w:vAlign w:val="center"/>
          </w:tcPr>
          <w:p w14:paraId="3A108680">
            <w:pPr>
              <w:pStyle w:val="21"/>
              <w:spacing w:line="240" w:lineRule="auto"/>
              <w:jc w:val="left"/>
              <w:rPr>
                <w:rFonts w:cs="Times New Roman"/>
              </w:rPr>
            </w:pPr>
            <w:r>
              <w:rPr>
                <w:rFonts w:hint="eastAsia" w:ascii="宋体" w:hAnsi="宋体" w:eastAsia="宋体"/>
                <w:lang w:val="en-US"/>
              </w:rPr>
              <w:t>①</w:t>
            </w:r>
            <w:r>
              <w:rPr>
                <w:rFonts w:cs="Times New Roman"/>
                <w:lang w:val="en-US"/>
              </w:rPr>
              <w:t>是否有适用的政府采购管理制度；</w:t>
            </w:r>
            <w:r>
              <w:rPr>
                <w:rFonts w:hint="eastAsia" w:ascii="宋体" w:hAnsi="宋体" w:eastAsia="宋体"/>
                <w:lang w:val="en-US"/>
              </w:rPr>
              <w:t>②</w:t>
            </w:r>
            <w:r>
              <w:rPr>
                <w:rFonts w:cs="Times New Roman"/>
                <w:lang w:val="en-US"/>
              </w:rPr>
              <w:t>相关采购管理制度是否合法、合规、完整；</w:t>
            </w:r>
            <w:r>
              <w:rPr>
                <w:rFonts w:hint="eastAsia" w:ascii="宋体" w:hAnsi="宋体" w:eastAsia="宋体"/>
                <w:lang w:val="en-US"/>
              </w:rPr>
              <w:t>③</w:t>
            </w:r>
            <w:r>
              <w:rPr>
                <w:rFonts w:cs="Times New Roman"/>
                <w:lang w:val="en-US"/>
              </w:rPr>
              <w:t>政府采购管理制度中对采购程序等方面进行全面规定。以上3项各占1/3权重分，符合得对应权重分，否则不得分。</w:t>
            </w:r>
          </w:p>
        </w:tc>
        <w:tc>
          <w:tcPr>
            <w:tcW w:w="340" w:type="pct"/>
            <w:noWrap/>
            <w:tcMar>
              <w:top w:w="15" w:type="dxa"/>
              <w:left w:w="15" w:type="dxa"/>
              <w:right w:w="15" w:type="dxa"/>
            </w:tcMar>
            <w:vAlign w:val="center"/>
          </w:tcPr>
          <w:p w14:paraId="3D357B24">
            <w:pPr>
              <w:pStyle w:val="21"/>
              <w:spacing w:line="240" w:lineRule="auto"/>
              <w:rPr>
                <w:rFonts w:eastAsia="宋体" w:cs="Times New Roman"/>
                <w:lang w:val="en-US"/>
              </w:rPr>
            </w:pPr>
            <w:r>
              <w:rPr>
                <w:rFonts w:cs="Times New Roman"/>
                <w:lang w:val="en-US"/>
              </w:rPr>
              <w:t>健全</w:t>
            </w:r>
          </w:p>
        </w:tc>
        <w:tc>
          <w:tcPr>
            <w:tcW w:w="319" w:type="pct"/>
            <w:noWrap/>
            <w:tcMar>
              <w:top w:w="15" w:type="dxa"/>
              <w:left w:w="15" w:type="dxa"/>
              <w:right w:w="15" w:type="dxa"/>
            </w:tcMar>
            <w:vAlign w:val="center"/>
          </w:tcPr>
          <w:p w14:paraId="26453BE6">
            <w:pPr>
              <w:pStyle w:val="21"/>
              <w:spacing w:line="240" w:lineRule="auto"/>
              <w:rPr>
                <w:rFonts w:eastAsia="宋体" w:cs="Times New Roman"/>
                <w:lang w:val="en-US"/>
              </w:rPr>
            </w:pPr>
            <w:r>
              <w:rPr>
                <w:rFonts w:eastAsia="宋体" w:cs="Times New Roman"/>
                <w:lang w:val="en-US"/>
              </w:rPr>
              <w:t>2</w:t>
            </w:r>
          </w:p>
        </w:tc>
        <w:tc>
          <w:tcPr>
            <w:tcW w:w="319" w:type="pct"/>
            <w:noWrap/>
            <w:tcMar>
              <w:top w:w="15" w:type="dxa"/>
              <w:left w:w="15" w:type="dxa"/>
              <w:right w:w="15" w:type="dxa"/>
            </w:tcMar>
            <w:vAlign w:val="center"/>
          </w:tcPr>
          <w:p w14:paraId="7FA16A76">
            <w:pPr>
              <w:pStyle w:val="21"/>
              <w:spacing w:line="240" w:lineRule="auto"/>
              <w:rPr>
                <w:rFonts w:eastAsia="宋体" w:cs="Times New Roman"/>
                <w:lang w:val="en-US"/>
              </w:rPr>
            </w:pPr>
          </w:p>
        </w:tc>
      </w:tr>
      <w:tr w14:paraId="1A60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295" w:type="pct"/>
            <w:vMerge w:val="continue"/>
            <w:tcMar>
              <w:top w:w="15" w:type="dxa"/>
              <w:left w:w="15" w:type="dxa"/>
              <w:right w:w="15" w:type="dxa"/>
            </w:tcMar>
            <w:vAlign w:val="center"/>
          </w:tcPr>
          <w:p w14:paraId="6B55A00F">
            <w:pPr>
              <w:pStyle w:val="21"/>
              <w:spacing w:line="240" w:lineRule="auto"/>
              <w:jc w:val="left"/>
              <w:rPr>
                <w:rFonts w:cs="Times New Roman"/>
              </w:rPr>
            </w:pPr>
          </w:p>
        </w:tc>
        <w:tc>
          <w:tcPr>
            <w:tcW w:w="379" w:type="pct"/>
            <w:vMerge w:val="continue"/>
            <w:tcMar>
              <w:top w:w="15" w:type="dxa"/>
              <w:left w:w="15" w:type="dxa"/>
              <w:right w:w="15" w:type="dxa"/>
            </w:tcMar>
            <w:vAlign w:val="center"/>
          </w:tcPr>
          <w:p w14:paraId="04311054">
            <w:pPr>
              <w:pStyle w:val="21"/>
              <w:spacing w:line="240" w:lineRule="auto"/>
              <w:jc w:val="left"/>
              <w:rPr>
                <w:rFonts w:cs="Times New Roman"/>
              </w:rPr>
            </w:pPr>
          </w:p>
        </w:tc>
        <w:tc>
          <w:tcPr>
            <w:tcW w:w="502" w:type="pct"/>
            <w:tcMar>
              <w:top w:w="15" w:type="dxa"/>
              <w:left w:w="15" w:type="dxa"/>
              <w:right w:w="15" w:type="dxa"/>
            </w:tcMar>
            <w:vAlign w:val="center"/>
          </w:tcPr>
          <w:p w14:paraId="4A2A937C">
            <w:pPr>
              <w:pStyle w:val="21"/>
              <w:spacing w:line="240" w:lineRule="auto"/>
              <w:jc w:val="left"/>
              <w:rPr>
                <w:rFonts w:cs="Times New Roman"/>
              </w:rPr>
            </w:pPr>
            <w:r>
              <w:rPr>
                <w:rFonts w:cs="Times New Roman"/>
                <w:lang w:val="en-US"/>
              </w:rPr>
              <w:t>B42政府采购规范性</w:t>
            </w:r>
          </w:p>
        </w:tc>
        <w:tc>
          <w:tcPr>
            <w:tcW w:w="355" w:type="pct"/>
            <w:tcMar>
              <w:top w:w="15" w:type="dxa"/>
              <w:left w:w="15" w:type="dxa"/>
              <w:right w:w="15" w:type="dxa"/>
            </w:tcMar>
            <w:vAlign w:val="center"/>
          </w:tcPr>
          <w:p w14:paraId="1EB0A06F">
            <w:pPr>
              <w:pStyle w:val="21"/>
              <w:spacing w:line="240" w:lineRule="auto"/>
              <w:rPr>
                <w:rFonts w:cs="Times New Roman"/>
              </w:rPr>
            </w:pPr>
            <w:r>
              <w:rPr>
                <w:rFonts w:cs="Times New Roman"/>
                <w:lang w:val="en-US"/>
              </w:rPr>
              <w:t>规范</w:t>
            </w:r>
          </w:p>
        </w:tc>
        <w:tc>
          <w:tcPr>
            <w:tcW w:w="229" w:type="pct"/>
            <w:tcMar>
              <w:top w:w="15" w:type="dxa"/>
              <w:left w:w="15" w:type="dxa"/>
              <w:right w:w="15" w:type="dxa"/>
            </w:tcMar>
            <w:vAlign w:val="center"/>
          </w:tcPr>
          <w:p w14:paraId="4D50DD49">
            <w:pPr>
              <w:pStyle w:val="21"/>
              <w:spacing w:line="240" w:lineRule="auto"/>
              <w:rPr>
                <w:rFonts w:cs="Times New Roman"/>
              </w:rPr>
            </w:pPr>
            <w:r>
              <w:rPr>
                <w:rFonts w:cs="Times New Roman"/>
                <w:lang w:val="en-US"/>
              </w:rPr>
              <w:t>1</w:t>
            </w:r>
          </w:p>
        </w:tc>
        <w:tc>
          <w:tcPr>
            <w:tcW w:w="1020" w:type="pct"/>
            <w:noWrap/>
            <w:tcMar>
              <w:top w:w="15" w:type="dxa"/>
              <w:left w:w="15" w:type="dxa"/>
              <w:right w:w="15" w:type="dxa"/>
            </w:tcMar>
            <w:vAlign w:val="center"/>
          </w:tcPr>
          <w:p w14:paraId="05061E2D">
            <w:pPr>
              <w:pStyle w:val="21"/>
              <w:spacing w:line="240" w:lineRule="auto"/>
              <w:jc w:val="left"/>
              <w:rPr>
                <w:rFonts w:cs="Times New Roman"/>
              </w:rPr>
            </w:pPr>
            <w:r>
              <w:rPr>
                <w:rFonts w:cs="Times New Roman"/>
                <w:lang w:val="en-US"/>
              </w:rPr>
              <w:t>考察部门采购等是否规范。</w:t>
            </w:r>
          </w:p>
        </w:tc>
        <w:tc>
          <w:tcPr>
            <w:tcW w:w="1236" w:type="pct"/>
            <w:noWrap/>
            <w:tcMar>
              <w:top w:w="15" w:type="dxa"/>
              <w:left w:w="15" w:type="dxa"/>
              <w:right w:w="15" w:type="dxa"/>
            </w:tcMar>
            <w:vAlign w:val="center"/>
          </w:tcPr>
          <w:p w14:paraId="158389EA">
            <w:pPr>
              <w:pStyle w:val="21"/>
              <w:spacing w:line="240" w:lineRule="auto"/>
              <w:jc w:val="left"/>
              <w:rPr>
                <w:rFonts w:cs="Times New Roman"/>
              </w:rPr>
            </w:pPr>
            <w:r>
              <w:rPr>
                <w:rFonts w:hint="eastAsia" w:ascii="宋体" w:hAnsi="宋体" w:eastAsia="宋体"/>
                <w:lang w:val="en-US"/>
              </w:rPr>
              <w:t>①</w:t>
            </w:r>
            <w:r>
              <w:rPr>
                <w:rFonts w:cs="Times New Roman"/>
                <w:lang w:val="en-US"/>
              </w:rPr>
              <w:t>是否严格按照政府集中采购目录及政府采购限额标准执行；</w:t>
            </w:r>
            <w:r>
              <w:rPr>
                <w:rFonts w:hint="eastAsia" w:ascii="宋体" w:hAnsi="宋体" w:eastAsia="宋体"/>
                <w:lang w:val="en-US"/>
              </w:rPr>
              <w:t>②</w:t>
            </w:r>
            <w:r>
              <w:rPr>
                <w:rFonts w:cs="Times New Roman"/>
                <w:lang w:val="en-US"/>
              </w:rPr>
              <w:t>是否严格按照主管部门及当地政策要求的采购程序执行；</w:t>
            </w:r>
            <w:r>
              <w:rPr>
                <w:rFonts w:hint="eastAsia" w:ascii="宋体" w:hAnsi="宋体" w:eastAsia="宋体"/>
                <w:lang w:val="en-US"/>
              </w:rPr>
              <w:t>③</w:t>
            </w:r>
            <w:r>
              <w:rPr>
                <w:rFonts w:cs="Times New Roman"/>
                <w:lang w:val="en-US"/>
              </w:rPr>
              <w:t>是否按规定签订合同，且明确双方责任。以上3项各占1/3权重分，符合得对应权重分，否则不得分。</w:t>
            </w:r>
          </w:p>
        </w:tc>
        <w:tc>
          <w:tcPr>
            <w:tcW w:w="340" w:type="pct"/>
            <w:noWrap/>
            <w:tcMar>
              <w:top w:w="15" w:type="dxa"/>
              <w:left w:w="15" w:type="dxa"/>
              <w:right w:w="15" w:type="dxa"/>
            </w:tcMar>
            <w:vAlign w:val="center"/>
          </w:tcPr>
          <w:p w14:paraId="4BD185CA">
            <w:pPr>
              <w:pStyle w:val="21"/>
              <w:spacing w:line="240" w:lineRule="auto"/>
              <w:rPr>
                <w:rFonts w:eastAsia="宋体" w:cs="Times New Roman"/>
                <w:lang w:val="en-US"/>
              </w:rPr>
            </w:pPr>
            <w:r>
              <w:rPr>
                <w:rFonts w:cs="Times New Roman"/>
                <w:lang w:val="en-US"/>
              </w:rPr>
              <w:t>规范</w:t>
            </w:r>
          </w:p>
        </w:tc>
        <w:tc>
          <w:tcPr>
            <w:tcW w:w="319" w:type="pct"/>
            <w:noWrap/>
            <w:tcMar>
              <w:top w:w="15" w:type="dxa"/>
              <w:left w:w="15" w:type="dxa"/>
              <w:right w:w="15" w:type="dxa"/>
            </w:tcMar>
            <w:vAlign w:val="center"/>
          </w:tcPr>
          <w:p w14:paraId="0F9492FE">
            <w:pPr>
              <w:pStyle w:val="21"/>
              <w:spacing w:line="240" w:lineRule="auto"/>
              <w:rPr>
                <w:rFonts w:eastAsia="宋体" w:cs="Times New Roman"/>
                <w:lang w:val="en-US"/>
              </w:rPr>
            </w:pPr>
            <w:r>
              <w:rPr>
                <w:rFonts w:eastAsia="宋体" w:cs="Times New Roman"/>
                <w:lang w:val="en-US"/>
              </w:rPr>
              <w:t>1</w:t>
            </w:r>
          </w:p>
        </w:tc>
        <w:tc>
          <w:tcPr>
            <w:tcW w:w="319" w:type="pct"/>
            <w:noWrap/>
            <w:tcMar>
              <w:top w:w="15" w:type="dxa"/>
              <w:left w:w="15" w:type="dxa"/>
              <w:right w:w="15" w:type="dxa"/>
            </w:tcMar>
            <w:vAlign w:val="center"/>
          </w:tcPr>
          <w:p w14:paraId="5E6405A8">
            <w:pPr>
              <w:pStyle w:val="21"/>
              <w:spacing w:line="240" w:lineRule="auto"/>
              <w:rPr>
                <w:rFonts w:eastAsia="宋体" w:cs="Times New Roman"/>
                <w:lang w:val="en-US"/>
              </w:rPr>
            </w:pPr>
          </w:p>
        </w:tc>
      </w:tr>
      <w:tr w14:paraId="6CF8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61539713">
            <w:pPr>
              <w:pStyle w:val="21"/>
              <w:spacing w:line="240" w:lineRule="auto"/>
              <w:jc w:val="left"/>
              <w:rPr>
                <w:rFonts w:cs="Times New Roman"/>
              </w:rPr>
            </w:pPr>
          </w:p>
        </w:tc>
        <w:tc>
          <w:tcPr>
            <w:tcW w:w="379" w:type="pct"/>
            <w:vMerge w:val="restart"/>
            <w:tcMar>
              <w:top w:w="15" w:type="dxa"/>
              <w:left w:w="15" w:type="dxa"/>
              <w:right w:w="15" w:type="dxa"/>
            </w:tcMar>
            <w:vAlign w:val="center"/>
          </w:tcPr>
          <w:p w14:paraId="55AA4D6F">
            <w:pPr>
              <w:pStyle w:val="21"/>
              <w:spacing w:line="240" w:lineRule="auto"/>
              <w:jc w:val="left"/>
              <w:rPr>
                <w:rFonts w:cs="Times New Roman"/>
              </w:rPr>
            </w:pPr>
            <w:r>
              <w:rPr>
                <w:rFonts w:cs="Times New Roman"/>
                <w:lang w:val="en-US"/>
              </w:rPr>
              <w:t>B5内部控制管理</w:t>
            </w:r>
          </w:p>
        </w:tc>
        <w:tc>
          <w:tcPr>
            <w:tcW w:w="502" w:type="pct"/>
            <w:tcMar>
              <w:top w:w="15" w:type="dxa"/>
              <w:left w:w="15" w:type="dxa"/>
              <w:right w:w="15" w:type="dxa"/>
            </w:tcMar>
            <w:vAlign w:val="center"/>
          </w:tcPr>
          <w:p w14:paraId="33B8C20B">
            <w:pPr>
              <w:pStyle w:val="21"/>
              <w:spacing w:line="240" w:lineRule="auto"/>
              <w:jc w:val="left"/>
              <w:rPr>
                <w:rFonts w:cs="Times New Roman"/>
              </w:rPr>
            </w:pPr>
            <w:r>
              <w:rPr>
                <w:rFonts w:cs="Times New Roman"/>
                <w:lang w:val="en-US"/>
              </w:rPr>
              <w:t>B51内部控制建设情况</w:t>
            </w:r>
          </w:p>
        </w:tc>
        <w:tc>
          <w:tcPr>
            <w:tcW w:w="355" w:type="pct"/>
            <w:tcMar>
              <w:top w:w="15" w:type="dxa"/>
              <w:left w:w="15" w:type="dxa"/>
              <w:right w:w="15" w:type="dxa"/>
            </w:tcMar>
            <w:vAlign w:val="center"/>
          </w:tcPr>
          <w:p w14:paraId="3FEAD302">
            <w:pPr>
              <w:pStyle w:val="21"/>
              <w:spacing w:line="240" w:lineRule="auto"/>
              <w:rPr>
                <w:rFonts w:cs="Times New Roman"/>
              </w:rPr>
            </w:pPr>
            <w:r>
              <w:rPr>
                <w:rFonts w:cs="Times New Roman"/>
                <w:lang w:val="en-US"/>
              </w:rPr>
              <w:t>健全</w:t>
            </w:r>
          </w:p>
        </w:tc>
        <w:tc>
          <w:tcPr>
            <w:tcW w:w="229" w:type="pct"/>
            <w:tcMar>
              <w:top w:w="15" w:type="dxa"/>
              <w:left w:w="15" w:type="dxa"/>
              <w:right w:w="15" w:type="dxa"/>
            </w:tcMar>
            <w:vAlign w:val="center"/>
          </w:tcPr>
          <w:p w14:paraId="07DD378A">
            <w:pPr>
              <w:pStyle w:val="21"/>
              <w:spacing w:line="240" w:lineRule="auto"/>
              <w:rPr>
                <w:rFonts w:cs="Times New Roman"/>
              </w:rPr>
            </w:pPr>
            <w:r>
              <w:rPr>
                <w:rFonts w:cs="Times New Roman"/>
                <w:lang w:val="en-US"/>
              </w:rPr>
              <w:t>1</w:t>
            </w:r>
          </w:p>
        </w:tc>
        <w:tc>
          <w:tcPr>
            <w:tcW w:w="1020" w:type="pct"/>
            <w:tcMar>
              <w:top w:w="15" w:type="dxa"/>
              <w:left w:w="15" w:type="dxa"/>
              <w:right w:w="15" w:type="dxa"/>
            </w:tcMar>
            <w:vAlign w:val="center"/>
          </w:tcPr>
          <w:p w14:paraId="1A99C3B8">
            <w:pPr>
              <w:pStyle w:val="21"/>
              <w:spacing w:line="240" w:lineRule="auto"/>
              <w:jc w:val="left"/>
              <w:rPr>
                <w:rFonts w:cs="Times New Roman"/>
              </w:rPr>
            </w:pPr>
            <w:r>
              <w:rPr>
                <w:rFonts w:cs="Times New Roman"/>
                <w:lang w:val="en-US"/>
              </w:rPr>
              <w:t>考察部门是否有内部控制制度落实在文本上。</w:t>
            </w:r>
          </w:p>
        </w:tc>
        <w:tc>
          <w:tcPr>
            <w:tcW w:w="1236" w:type="pct"/>
            <w:tcMar>
              <w:top w:w="15" w:type="dxa"/>
              <w:left w:w="15" w:type="dxa"/>
              <w:right w:w="15" w:type="dxa"/>
            </w:tcMar>
            <w:vAlign w:val="center"/>
          </w:tcPr>
          <w:p w14:paraId="59CD142D">
            <w:pPr>
              <w:pStyle w:val="21"/>
              <w:spacing w:line="240" w:lineRule="auto"/>
              <w:jc w:val="left"/>
              <w:rPr>
                <w:rFonts w:cs="Times New Roman"/>
              </w:rPr>
            </w:pPr>
            <w:r>
              <w:rPr>
                <w:rFonts w:cs="Times New Roman"/>
                <w:lang w:val="en-US"/>
              </w:rPr>
              <w:t>部门有内部控制制度落实在文本上，符合得对应权重分，否则不得分。</w:t>
            </w:r>
          </w:p>
        </w:tc>
        <w:tc>
          <w:tcPr>
            <w:tcW w:w="340" w:type="pct"/>
            <w:tcMar>
              <w:top w:w="15" w:type="dxa"/>
              <w:left w:w="15" w:type="dxa"/>
              <w:right w:w="15" w:type="dxa"/>
            </w:tcMar>
            <w:vAlign w:val="center"/>
          </w:tcPr>
          <w:p w14:paraId="133A2B17">
            <w:pPr>
              <w:jc w:val="center"/>
              <w:rPr>
                <w:rFonts w:ascii="Times New Roman" w:hAnsi="Times New Roman" w:cs="Times New Roman"/>
              </w:rPr>
            </w:pPr>
            <w:r>
              <w:rPr>
                <w:rFonts w:cs="Times New Roman"/>
                <w:lang w:val="en-US"/>
              </w:rPr>
              <w:t>健全</w:t>
            </w:r>
          </w:p>
        </w:tc>
        <w:tc>
          <w:tcPr>
            <w:tcW w:w="319" w:type="pct"/>
            <w:tcMar>
              <w:top w:w="15" w:type="dxa"/>
              <w:left w:w="15" w:type="dxa"/>
              <w:right w:w="15" w:type="dxa"/>
            </w:tcMar>
            <w:vAlign w:val="center"/>
          </w:tcPr>
          <w:p w14:paraId="3B137325">
            <w:pPr>
              <w:pStyle w:val="21"/>
              <w:spacing w:line="240" w:lineRule="auto"/>
              <w:rPr>
                <w:rFonts w:cs="Times New Roman"/>
                <w:lang w:val="en-US"/>
              </w:rPr>
            </w:pPr>
          </w:p>
          <w:p w14:paraId="5EF3A349">
            <w:pPr>
              <w:jc w:val="center"/>
              <w:rPr>
                <w:rFonts w:ascii="Times New Roman" w:hAnsi="Times New Roman" w:cs="Times New Roman"/>
              </w:rPr>
            </w:pPr>
            <w:r>
              <w:rPr>
                <w:rFonts w:ascii="Times New Roman" w:hAnsi="Times New Roman" w:cs="Times New Roman"/>
              </w:rPr>
              <w:t>1</w:t>
            </w:r>
          </w:p>
        </w:tc>
        <w:tc>
          <w:tcPr>
            <w:tcW w:w="319" w:type="pct"/>
            <w:tcMar>
              <w:top w:w="15" w:type="dxa"/>
              <w:left w:w="15" w:type="dxa"/>
              <w:right w:w="15" w:type="dxa"/>
            </w:tcMar>
            <w:vAlign w:val="center"/>
          </w:tcPr>
          <w:p w14:paraId="263DF968">
            <w:pPr>
              <w:jc w:val="center"/>
              <w:rPr>
                <w:rFonts w:ascii="Times New Roman" w:hAnsi="Times New Roman" w:cs="Times New Roman"/>
              </w:rPr>
            </w:pPr>
          </w:p>
        </w:tc>
      </w:tr>
      <w:tr w14:paraId="434D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3208B4F4">
            <w:pPr>
              <w:pStyle w:val="21"/>
              <w:spacing w:line="240" w:lineRule="auto"/>
              <w:jc w:val="left"/>
              <w:rPr>
                <w:rFonts w:cs="Times New Roman"/>
              </w:rPr>
            </w:pPr>
          </w:p>
        </w:tc>
        <w:tc>
          <w:tcPr>
            <w:tcW w:w="379" w:type="pct"/>
            <w:vMerge w:val="continue"/>
            <w:tcMar>
              <w:top w:w="15" w:type="dxa"/>
              <w:left w:w="15" w:type="dxa"/>
              <w:right w:w="15" w:type="dxa"/>
            </w:tcMar>
            <w:vAlign w:val="center"/>
          </w:tcPr>
          <w:p w14:paraId="2449A1DC">
            <w:pPr>
              <w:pStyle w:val="21"/>
              <w:spacing w:line="240" w:lineRule="auto"/>
              <w:jc w:val="left"/>
              <w:rPr>
                <w:rFonts w:cs="Times New Roman"/>
              </w:rPr>
            </w:pPr>
          </w:p>
        </w:tc>
        <w:tc>
          <w:tcPr>
            <w:tcW w:w="502" w:type="pct"/>
            <w:tcMar>
              <w:top w:w="15" w:type="dxa"/>
              <w:left w:w="15" w:type="dxa"/>
              <w:right w:w="15" w:type="dxa"/>
            </w:tcMar>
            <w:vAlign w:val="center"/>
          </w:tcPr>
          <w:p w14:paraId="57510F06">
            <w:pPr>
              <w:pStyle w:val="21"/>
              <w:spacing w:line="240" w:lineRule="auto"/>
              <w:jc w:val="left"/>
              <w:rPr>
                <w:rFonts w:cs="Times New Roman"/>
              </w:rPr>
            </w:pPr>
            <w:r>
              <w:rPr>
                <w:rFonts w:cs="Times New Roman"/>
                <w:lang w:val="en-US"/>
              </w:rPr>
              <w:t>B52内部控制执行情况</w:t>
            </w:r>
          </w:p>
        </w:tc>
        <w:tc>
          <w:tcPr>
            <w:tcW w:w="355" w:type="pct"/>
            <w:tcMar>
              <w:top w:w="15" w:type="dxa"/>
              <w:left w:w="15" w:type="dxa"/>
              <w:right w:w="15" w:type="dxa"/>
            </w:tcMar>
            <w:vAlign w:val="center"/>
          </w:tcPr>
          <w:p w14:paraId="29DF506B">
            <w:pPr>
              <w:pStyle w:val="21"/>
              <w:spacing w:line="240" w:lineRule="auto"/>
              <w:rPr>
                <w:rFonts w:cs="Times New Roman"/>
              </w:rPr>
            </w:pPr>
            <w:r>
              <w:rPr>
                <w:rFonts w:cs="Times New Roman"/>
                <w:lang w:val="en-US"/>
              </w:rPr>
              <w:t>有效</w:t>
            </w:r>
          </w:p>
        </w:tc>
        <w:tc>
          <w:tcPr>
            <w:tcW w:w="229" w:type="pct"/>
            <w:tcMar>
              <w:top w:w="15" w:type="dxa"/>
              <w:left w:w="15" w:type="dxa"/>
              <w:right w:w="15" w:type="dxa"/>
            </w:tcMar>
            <w:vAlign w:val="center"/>
          </w:tcPr>
          <w:p w14:paraId="533024A0">
            <w:pPr>
              <w:pStyle w:val="21"/>
              <w:spacing w:line="240" w:lineRule="auto"/>
              <w:rPr>
                <w:rFonts w:cs="Times New Roman"/>
              </w:rPr>
            </w:pPr>
            <w:r>
              <w:rPr>
                <w:rFonts w:cs="Times New Roman"/>
                <w:lang w:val="en-US"/>
              </w:rPr>
              <w:t>1</w:t>
            </w:r>
          </w:p>
        </w:tc>
        <w:tc>
          <w:tcPr>
            <w:tcW w:w="1020" w:type="pct"/>
            <w:tcMar>
              <w:top w:w="15" w:type="dxa"/>
              <w:left w:w="15" w:type="dxa"/>
              <w:right w:w="15" w:type="dxa"/>
            </w:tcMar>
            <w:vAlign w:val="center"/>
          </w:tcPr>
          <w:p w14:paraId="70F9792A">
            <w:pPr>
              <w:pStyle w:val="21"/>
              <w:spacing w:line="240" w:lineRule="auto"/>
              <w:jc w:val="left"/>
              <w:rPr>
                <w:rFonts w:cs="Times New Roman"/>
              </w:rPr>
            </w:pPr>
            <w:r>
              <w:rPr>
                <w:rFonts w:cs="Times New Roman"/>
                <w:lang w:val="en-US"/>
              </w:rPr>
              <w:t>考察部门内控控制执行是否有效。</w:t>
            </w:r>
          </w:p>
        </w:tc>
        <w:tc>
          <w:tcPr>
            <w:tcW w:w="1236" w:type="pct"/>
            <w:tcMar>
              <w:top w:w="15" w:type="dxa"/>
              <w:left w:w="15" w:type="dxa"/>
              <w:right w:w="15" w:type="dxa"/>
            </w:tcMar>
            <w:vAlign w:val="center"/>
          </w:tcPr>
          <w:p w14:paraId="4835788B">
            <w:pPr>
              <w:pStyle w:val="21"/>
              <w:spacing w:line="240" w:lineRule="auto"/>
              <w:jc w:val="left"/>
              <w:rPr>
                <w:rFonts w:cs="Times New Roman"/>
              </w:rPr>
            </w:pPr>
            <w:r>
              <w:rPr>
                <w:rFonts w:hint="eastAsia" w:ascii="宋体" w:hAnsi="宋体" w:eastAsia="宋体"/>
                <w:lang w:val="en-US"/>
              </w:rPr>
              <w:t>①</w:t>
            </w:r>
            <w:r>
              <w:rPr>
                <w:rFonts w:cs="Times New Roman"/>
                <w:lang w:val="en-US"/>
              </w:rPr>
              <w:t>是否根据内控制度执行相关决策；</w:t>
            </w:r>
            <w:r>
              <w:rPr>
                <w:rFonts w:hint="eastAsia" w:ascii="宋体" w:hAnsi="宋体" w:eastAsia="宋体"/>
                <w:lang w:val="en-US"/>
              </w:rPr>
              <w:t>②</w:t>
            </w:r>
            <w:r>
              <w:rPr>
                <w:rFonts w:cs="Times New Roman"/>
                <w:lang w:val="en-US"/>
              </w:rPr>
              <w:t>通过内控有效提升了部门决策效果。以上2项各占1/2权重分，符合得对应权重分，否则不得分。</w:t>
            </w:r>
          </w:p>
        </w:tc>
        <w:tc>
          <w:tcPr>
            <w:tcW w:w="340" w:type="pct"/>
            <w:tcMar>
              <w:top w:w="15" w:type="dxa"/>
              <w:left w:w="15" w:type="dxa"/>
              <w:right w:w="15" w:type="dxa"/>
            </w:tcMar>
            <w:vAlign w:val="center"/>
          </w:tcPr>
          <w:p w14:paraId="160E86BB">
            <w:pPr>
              <w:pStyle w:val="21"/>
              <w:spacing w:line="240" w:lineRule="auto"/>
              <w:rPr>
                <w:rFonts w:eastAsia="宋体" w:cs="Times New Roman"/>
                <w:lang w:val="en-US"/>
              </w:rPr>
            </w:pPr>
            <w:r>
              <w:rPr>
                <w:rFonts w:cs="Times New Roman"/>
                <w:lang w:val="en-US"/>
              </w:rPr>
              <w:t>有效</w:t>
            </w:r>
          </w:p>
        </w:tc>
        <w:tc>
          <w:tcPr>
            <w:tcW w:w="319" w:type="pct"/>
            <w:tcMar>
              <w:top w:w="15" w:type="dxa"/>
              <w:left w:w="15" w:type="dxa"/>
              <w:right w:w="15" w:type="dxa"/>
            </w:tcMar>
            <w:vAlign w:val="center"/>
          </w:tcPr>
          <w:p w14:paraId="3E5F789B">
            <w:pPr>
              <w:pStyle w:val="21"/>
              <w:spacing w:line="240" w:lineRule="auto"/>
              <w:rPr>
                <w:rFonts w:eastAsia="宋体" w:cs="Times New Roman"/>
                <w:lang w:val="en-US"/>
              </w:rPr>
            </w:pPr>
            <w:r>
              <w:rPr>
                <w:rFonts w:eastAsia="宋体" w:cs="Times New Roman"/>
                <w:lang w:val="en-US"/>
              </w:rPr>
              <w:t>1</w:t>
            </w:r>
          </w:p>
        </w:tc>
        <w:tc>
          <w:tcPr>
            <w:tcW w:w="319" w:type="pct"/>
            <w:tcMar>
              <w:top w:w="15" w:type="dxa"/>
              <w:left w:w="15" w:type="dxa"/>
              <w:right w:w="15" w:type="dxa"/>
            </w:tcMar>
            <w:vAlign w:val="center"/>
          </w:tcPr>
          <w:p w14:paraId="0F7DB313">
            <w:pPr>
              <w:pStyle w:val="21"/>
              <w:spacing w:line="240" w:lineRule="auto"/>
              <w:rPr>
                <w:rFonts w:eastAsia="宋体" w:cs="Times New Roman"/>
                <w:lang w:val="en-US"/>
              </w:rPr>
            </w:pPr>
          </w:p>
        </w:tc>
      </w:tr>
      <w:tr w14:paraId="7C39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7BDB5BC0">
            <w:pPr>
              <w:pStyle w:val="21"/>
              <w:spacing w:line="240" w:lineRule="auto"/>
              <w:jc w:val="left"/>
              <w:rPr>
                <w:rFonts w:cs="Times New Roman"/>
              </w:rPr>
            </w:pPr>
          </w:p>
        </w:tc>
        <w:tc>
          <w:tcPr>
            <w:tcW w:w="379" w:type="pct"/>
            <w:vMerge w:val="continue"/>
            <w:tcMar>
              <w:top w:w="15" w:type="dxa"/>
              <w:left w:w="15" w:type="dxa"/>
              <w:right w:w="15" w:type="dxa"/>
            </w:tcMar>
            <w:vAlign w:val="center"/>
          </w:tcPr>
          <w:p w14:paraId="0FD29578">
            <w:pPr>
              <w:pStyle w:val="21"/>
              <w:spacing w:line="240" w:lineRule="auto"/>
              <w:jc w:val="left"/>
              <w:rPr>
                <w:rFonts w:cs="Times New Roman"/>
              </w:rPr>
            </w:pPr>
          </w:p>
        </w:tc>
        <w:tc>
          <w:tcPr>
            <w:tcW w:w="502" w:type="pct"/>
            <w:tcMar>
              <w:top w:w="15" w:type="dxa"/>
              <w:left w:w="15" w:type="dxa"/>
              <w:right w:w="15" w:type="dxa"/>
            </w:tcMar>
            <w:vAlign w:val="center"/>
          </w:tcPr>
          <w:p w14:paraId="22106EE0">
            <w:pPr>
              <w:pStyle w:val="21"/>
              <w:spacing w:line="240" w:lineRule="auto"/>
              <w:jc w:val="left"/>
              <w:rPr>
                <w:rFonts w:cs="Times New Roman"/>
              </w:rPr>
            </w:pPr>
            <w:r>
              <w:rPr>
                <w:rFonts w:cs="Times New Roman"/>
                <w:lang w:val="en-US"/>
              </w:rPr>
              <w:t>B53内部控制监督评价</w:t>
            </w:r>
          </w:p>
        </w:tc>
        <w:tc>
          <w:tcPr>
            <w:tcW w:w="355" w:type="pct"/>
            <w:tcMar>
              <w:top w:w="15" w:type="dxa"/>
              <w:left w:w="15" w:type="dxa"/>
              <w:right w:w="15" w:type="dxa"/>
            </w:tcMar>
            <w:vAlign w:val="center"/>
          </w:tcPr>
          <w:p w14:paraId="020CA4CF">
            <w:pPr>
              <w:pStyle w:val="21"/>
              <w:spacing w:line="240" w:lineRule="auto"/>
              <w:rPr>
                <w:rFonts w:cs="Times New Roman"/>
              </w:rPr>
            </w:pPr>
            <w:r>
              <w:rPr>
                <w:rFonts w:cs="Times New Roman"/>
                <w:lang w:val="en-US"/>
              </w:rPr>
              <w:t>有效</w:t>
            </w:r>
          </w:p>
        </w:tc>
        <w:tc>
          <w:tcPr>
            <w:tcW w:w="229" w:type="pct"/>
            <w:tcMar>
              <w:top w:w="15" w:type="dxa"/>
              <w:left w:w="15" w:type="dxa"/>
              <w:right w:w="15" w:type="dxa"/>
            </w:tcMar>
            <w:vAlign w:val="center"/>
          </w:tcPr>
          <w:p w14:paraId="1549B0A0">
            <w:pPr>
              <w:pStyle w:val="21"/>
              <w:spacing w:line="240" w:lineRule="auto"/>
              <w:rPr>
                <w:rFonts w:cs="Times New Roman"/>
              </w:rPr>
            </w:pPr>
            <w:r>
              <w:rPr>
                <w:rFonts w:cs="Times New Roman"/>
                <w:lang w:val="en-US"/>
              </w:rPr>
              <w:t>1</w:t>
            </w:r>
          </w:p>
        </w:tc>
        <w:tc>
          <w:tcPr>
            <w:tcW w:w="1020" w:type="pct"/>
            <w:tcMar>
              <w:top w:w="15" w:type="dxa"/>
              <w:left w:w="15" w:type="dxa"/>
              <w:right w:w="15" w:type="dxa"/>
            </w:tcMar>
            <w:vAlign w:val="center"/>
          </w:tcPr>
          <w:p w14:paraId="0AE462EE">
            <w:pPr>
              <w:pStyle w:val="21"/>
              <w:spacing w:line="240" w:lineRule="auto"/>
              <w:jc w:val="left"/>
              <w:rPr>
                <w:rFonts w:cs="Times New Roman"/>
              </w:rPr>
            </w:pPr>
            <w:r>
              <w:rPr>
                <w:rFonts w:cs="Times New Roman"/>
                <w:lang w:val="en-US"/>
              </w:rPr>
              <w:t>考察部门是否有单位内部内控评价报告。</w:t>
            </w:r>
          </w:p>
        </w:tc>
        <w:tc>
          <w:tcPr>
            <w:tcW w:w="1236" w:type="pct"/>
            <w:tcMar>
              <w:top w:w="15" w:type="dxa"/>
              <w:left w:w="15" w:type="dxa"/>
              <w:right w:w="15" w:type="dxa"/>
            </w:tcMar>
            <w:vAlign w:val="center"/>
          </w:tcPr>
          <w:p w14:paraId="112B68C8">
            <w:pPr>
              <w:pStyle w:val="21"/>
              <w:spacing w:line="240" w:lineRule="auto"/>
              <w:jc w:val="left"/>
              <w:rPr>
                <w:rFonts w:cs="Times New Roman"/>
              </w:rPr>
            </w:pPr>
            <w:r>
              <w:rPr>
                <w:rFonts w:cs="Times New Roman"/>
                <w:lang w:val="en-US"/>
              </w:rPr>
              <w:t>部门有单位内部内控评价报告，符合得对应权重分，否则不得分。</w:t>
            </w:r>
          </w:p>
        </w:tc>
        <w:tc>
          <w:tcPr>
            <w:tcW w:w="340" w:type="pct"/>
            <w:tcMar>
              <w:top w:w="15" w:type="dxa"/>
              <w:left w:w="15" w:type="dxa"/>
              <w:right w:w="15" w:type="dxa"/>
            </w:tcMar>
            <w:vAlign w:val="center"/>
          </w:tcPr>
          <w:p w14:paraId="1A76EA80">
            <w:pPr>
              <w:pStyle w:val="21"/>
              <w:spacing w:line="240" w:lineRule="auto"/>
              <w:rPr>
                <w:rFonts w:cs="Times New Roman"/>
                <w:lang w:val="en-US"/>
              </w:rPr>
            </w:pPr>
            <w:r>
              <w:rPr>
                <w:rFonts w:cs="Times New Roman"/>
                <w:lang w:val="en-US"/>
              </w:rPr>
              <w:t>有效</w:t>
            </w:r>
          </w:p>
        </w:tc>
        <w:tc>
          <w:tcPr>
            <w:tcW w:w="319" w:type="pct"/>
            <w:tcMar>
              <w:top w:w="15" w:type="dxa"/>
              <w:left w:w="15" w:type="dxa"/>
              <w:right w:w="15" w:type="dxa"/>
            </w:tcMar>
            <w:vAlign w:val="center"/>
          </w:tcPr>
          <w:p w14:paraId="2939A4E1">
            <w:pPr>
              <w:pStyle w:val="21"/>
              <w:spacing w:line="240" w:lineRule="auto"/>
              <w:rPr>
                <w:rFonts w:cs="Times New Roman"/>
                <w:lang w:val="en-US"/>
              </w:rPr>
            </w:pPr>
            <w:r>
              <w:rPr>
                <w:rFonts w:cs="Times New Roman"/>
                <w:lang w:val="en-US"/>
              </w:rPr>
              <w:t>1</w:t>
            </w:r>
          </w:p>
        </w:tc>
        <w:tc>
          <w:tcPr>
            <w:tcW w:w="319" w:type="pct"/>
            <w:tcMar>
              <w:top w:w="15" w:type="dxa"/>
              <w:left w:w="15" w:type="dxa"/>
              <w:right w:w="15" w:type="dxa"/>
            </w:tcMar>
            <w:vAlign w:val="center"/>
          </w:tcPr>
          <w:p w14:paraId="4BA27350">
            <w:pPr>
              <w:pStyle w:val="21"/>
              <w:spacing w:line="240" w:lineRule="auto"/>
              <w:rPr>
                <w:rFonts w:cs="Times New Roman"/>
                <w:lang w:val="en-US"/>
              </w:rPr>
            </w:pPr>
          </w:p>
        </w:tc>
      </w:tr>
      <w:tr w14:paraId="4D8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295" w:type="pct"/>
            <w:vMerge w:val="continue"/>
            <w:tcMar>
              <w:top w:w="15" w:type="dxa"/>
              <w:left w:w="15" w:type="dxa"/>
              <w:right w:w="15" w:type="dxa"/>
            </w:tcMar>
            <w:vAlign w:val="center"/>
          </w:tcPr>
          <w:p w14:paraId="2B47DD40">
            <w:pPr>
              <w:pStyle w:val="21"/>
              <w:spacing w:line="240" w:lineRule="auto"/>
              <w:jc w:val="left"/>
              <w:rPr>
                <w:rFonts w:cs="Times New Roman"/>
              </w:rPr>
            </w:pPr>
          </w:p>
        </w:tc>
        <w:tc>
          <w:tcPr>
            <w:tcW w:w="379" w:type="pct"/>
            <w:vMerge w:val="restart"/>
            <w:tcMar>
              <w:top w:w="15" w:type="dxa"/>
              <w:left w:w="15" w:type="dxa"/>
              <w:right w:w="15" w:type="dxa"/>
            </w:tcMar>
            <w:vAlign w:val="center"/>
          </w:tcPr>
          <w:p w14:paraId="26236776">
            <w:pPr>
              <w:pStyle w:val="21"/>
              <w:spacing w:line="240" w:lineRule="auto"/>
              <w:ind w:firstLine="1100" w:firstLineChars="500"/>
              <w:jc w:val="left"/>
              <w:rPr>
                <w:rFonts w:cs="Times New Roman"/>
              </w:rPr>
            </w:pPr>
            <w:r>
              <w:rPr>
                <w:rFonts w:cs="Times New Roman"/>
                <w:lang w:val="en-US"/>
              </w:rPr>
              <w:t xml:space="preserve"> B6预算绩效管理</w:t>
            </w:r>
          </w:p>
        </w:tc>
        <w:tc>
          <w:tcPr>
            <w:tcW w:w="502" w:type="pct"/>
            <w:tcMar>
              <w:top w:w="15" w:type="dxa"/>
              <w:left w:w="15" w:type="dxa"/>
              <w:right w:w="15" w:type="dxa"/>
            </w:tcMar>
            <w:vAlign w:val="center"/>
          </w:tcPr>
          <w:p w14:paraId="22C3EDA6">
            <w:pPr>
              <w:pStyle w:val="21"/>
              <w:spacing w:line="240" w:lineRule="auto"/>
              <w:jc w:val="left"/>
              <w:rPr>
                <w:rFonts w:cs="Times New Roman"/>
              </w:rPr>
            </w:pPr>
            <w:r>
              <w:rPr>
                <w:rFonts w:cs="Times New Roman"/>
                <w:lang w:val="en-US"/>
              </w:rPr>
              <w:t>B61组织管理情况</w:t>
            </w:r>
          </w:p>
        </w:tc>
        <w:tc>
          <w:tcPr>
            <w:tcW w:w="355" w:type="pct"/>
            <w:tcMar>
              <w:top w:w="15" w:type="dxa"/>
              <w:left w:w="15" w:type="dxa"/>
              <w:right w:w="15" w:type="dxa"/>
            </w:tcMar>
            <w:vAlign w:val="center"/>
          </w:tcPr>
          <w:p w14:paraId="5F296BFB">
            <w:pPr>
              <w:pStyle w:val="21"/>
              <w:spacing w:line="240" w:lineRule="auto"/>
              <w:rPr>
                <w:rFonts w:cs="Times New Roman"/>
              </w:rPr>
            </w:pPr>
            <w:r>
              <w:rPr>
                <w:rFonts w:cs="Times New Roman"/>
                <w:lang w:val="en-US"/>
              </w:rPr>
              <w:t>健全</w:t>
            </w:r>
          </w:p>
        </w:tc>
        <w:tc>
          <w:tcPr>
            <w:tcW w:w="229" w:type="pct"/>
            <w:tcMar>
              <w:top w:w="15" w:type="dxa"/>
              <w:left w:w="15" w:type="dxa"/>
              <w:right w:w="15" w:type="dxa"/>
            </w:tcMar>
            <w:vAlign w:val="center"/>
          </w:tcPr>
          <w:p w14:paraId="4CB51FA8">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3B5A5069">
            <w:pPr>
              <w:pStyle w:val="21"/>
              <w:spacing w:line="240" w:lineRule="auto"/>
              <w:jc w:val="left"/>
              <w:rPr>
                <w:rFonts w:cs="Times New Roman"/>
              </w:rPr>
            </w:pPr>
            <w:r>
              <w:rPr>
                <w:rFonts w:cs="Times New Roman"/>
                <w:lang w:val="en-US"/>
              </w:rPr>
              <w:t>考察部门的组织管理情况。</w:t>
            </w:r>
          </w:p>
        </w:tc>
        <w:tc>
          <w:tcPr>
            <w:tcW w:w="1236" w:type="pct"/>
            <w:tcMar>
              <w:top w:w="15" w:type="dxa"/>
              <w:left w:w="15" w:type="dxa"/>
              <w:right w:w="15" w:type="dxa"/>
            </w:tcMar>
            <w:vAlign w:val="center"/>
          </w:tcPr>
          <w:p w14:paraId="1CB21CFE">
            <w:pPr>
              <w:pStyle w:val="21"/>
              <w:spacing w:line="240" w:lineRule="auto"/>
              <w:jc w:val="left"/>
              <w:rPr>
                <w:rFonts w:cs="Times New Roman"/>
              </w:rPr>
            </w:pPr>
            <w:r>
              <w:rPr>
                <w:rFonts w:cs="Times New Roman"/>
                <w:lang w:val="en-US"/>
              </w:rPr>
              <w:t>部门组织管理是否有制度建设、职能或者明确到责任人、分行业的指标体系。以上3项各占1/3权重分，符合得对应权重分，否则不得分。</w:t>
            </w:r>
          </w:p>
        </w:tc>
        <w:tc>
          <w:tcPr>
            <w:tcW w:w="340" w:type="pct"/>
            <w:tcMar>
              <w:top w:w="15" w:type="dxa"/>
              <w:left w:w="15" w:type="dxa"/>
              <w:right w:w="15" w:type="dxa"/>
            </w:tcMar>
            <w:vAlign w:val="center"/>
          </w:tcPr>
          <w:p w14:paraId="6CA21D80">
            <w:pPr>
              <w:pStyle w:val="21"/>
              <w:tabs>
                <w:tab w:val="left" w:pos="654"/>
              </w:tabs>
              <w:spacing w:line="240" w:lineRule="auto"/>
              <w:rPr>
                <w:rFonts w:cs="Times New Roman"/>
                <w:lang w:val="en-US"/>
              </w:rPr>
            </w:pPr>
            <w:r>
              <w:rPr>
                <w:rFonts w:cs="Times New Roman"/>
                <w:lang w:val="en-US"/>
              </w:rPr>
              <w:t>健全</w:t>
            </w:r>
          </w:p>
        </w:tc>
        <w:tc>
          <w:tcPr>
            <w:tcW w:w="319" w:type="pct"/>
            <w:tcMar>
              <w:top w:w="15" w:type="dxa"/>
              <w:left w:w="15" w:type="dxa"/>
              <w:right w:w="15" w:type="dxa"/>
            </w:tcMar>
            <w:vAlign w:val="center"/>
          </w:tcPr>
          <w:p w14:paraId="1418F042">
            <w:pPr>
              <w:pStyle w:val="21"/>
              <w:tabs>
                <w:tab w:val="left" w:pos="654"/>
              </w:tabs>
              <w:spacing w:line="240" w:lineRule="auto"/>
              <w:rPr>
                <w:rFonts w:cs="Times New Roman"/>
                <w:lang w:val="en-US"/>
              </w:rPr>
            </w:pPr>
            <w:r>
              <w:rPr>
                <w:rFonts w:cs="Times New Roman"/>
                <w:lang w:val="en-US"/>
              </w:rPr>
              <w:t>2</w:t>
            </w:r>
          </w:p>
        </w:tc>
        <w:tc>
          <w:tcPr>
            <w:tcW w:w="319" w:type="pct"/>
            <w:tcMar>
              <w:top w:w="15" w:type="dxa"/>
              <w:left w:w="15" w:type="dxa"/>
              <w:right w:w="15" w:type="dxa"/>
            </w:tcMar>
            <w:vAlign w:val="center"/>
          </w:tcPr>
          <w:p w14:paraId="2E2D6380">
            <w:pPr>
              <w:pStyle w:val="21"/>
              <w:tabs>
                <w:tab w:val="left" w:pos="654"/>
              </w:tabs>
              <w:spacing w:line="240" w:lineRule="auto"/>
              <w:rPr>
                <w:rFonts w:cs="Times New Roman"/>
                <w:lang w:val="en-US"/>
              </w:rPr>
            </w:pPr>
          </w:p>
        </w:tc>
      </w:tr>
      <w:tr w14:paraId="4BCF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5" w:type="pct"/>
            <w:vMerge w:val="continue"/>
            <w:tcMar>
              <w:top w:w="15" w:type="dxa"/>
              <w:left w:w="15" w:type="dxa"/>
              <w:right w:w="15" w:type="dxa"/>
            </w:tcMar>
            <w:vAlign w:val="center"/>
          </w:tcPr>
          <w:p w14:paraId="0DD60350">
            <w:pPr>
              <w:pStyle w:val="21"/>
              <w:spacing w:line="240" w:lineRule="auto"/>
              <w:jc w:val="left"/>
              <w:rPr>
                <w:rFonts w:cs="Times New Roman"/>
              </w:rPr>
            </w:pPr>
          </w:p>
        </w:tc>
        <w:tc>
          <w:tcPr>
            <w:tcW w:w="379" w:type="pct"/>
            <w:vMerge w:val="continue"/>
            <w:tcMar>
              <w:top w:w="15" w:type="dxa"/>
              <w:left w:w="15" w:type="dxa"/>
              <w:right w:w="15" w:type="dxa"/>
            </w:tcMar>
            <w:vAlign w:val="center"/>
          </w:tcPr>
          <w:p w14:paraId="2FE864B8">
            <w:pPr>
              <w:pStyle w:val="21"/>
              <w:spacing w:line="240" w:lineRule="auto"/>
              <w:jc w:val="left"/>
              <w:rPr>
                <w:rFonts w:cs="Times New Roman"/>
                <w:lang w:val="en-US"/>
              </w:rPr>
            </w:pPr>
          </w:p>
        </w:tc>
        <w:tc>
          <w:tcPr>
            <w:tcW w:w="502" w:type="pct"/>
            <w:tcMar>
              <w:top w:w="15" w:type="dxa"/>
              <w:left w:w="15" w:type="dxa"/>
              <w:right w:w="15" w:type="dxa"/>
            </w:tcMar>
            <w:vAlign w:val="center"/>
          </w:tcPr>
          <w:p w14:paraId="678EE87A">
            <w:pPr>
              <w:pStyle w:val="21"/>
              <w:spacing w:line="240" w:lineRule="auto"/>
              <w:jc w:val="left"/>
              <w:rPr>
                <w:rFonts w:cs="Times New Roman"/>
                <w:lang w:val="en-US"/>
              </w:rPr>
            </w:pPr>
            <w:r>
              <w:rPr>
                <w:rFonts w:cs="Times New Roman"/>
                <w:lang w:val="en-US"/>
              </w:rPr>
              <w:t>B62工作开展情况</w:t>
            </w:r>
          </w:p>
        </w:tc>
        <w:tc>
          <w:tcPr>
            <w:tcW w:w="355" w:type="pct"/>
            <w:tcMar>
              <w:top w:w="15" w:type="dxa"/>
              <w:left w:w="15" w:type="dxa"/>
              <w:right w:w="15" w:type="dxa"/>
            </w:tcMar>
            <w:vAlign w:val="center"/>
          </w:tcPr>
          <w:p w14:paraId="46652960">
            <w:pPr>
              <w:pStyle w:val="21"/>
              <w:spacing w:line="240" w:lineRule="auto"/>
              <w:rPr>
                <w:rFonts w:cs="Times New Roman"/>
                <w:lang w:val="en-US"/>
              </w:rPr>
            </w:pPr>
            <w:r>
              <w:rPr>
                <w:rFonts w:cs="Times New Roman"/>
                <w:lang w:val="en-US"/>
              </w:rPr>
              <w:t>有序</w:t>
            </w:r>
          </w:p>
        </w:tc>
        <w:tc>
          <w:tcPr>
            <w:tcW w:w="229" w:type="pct"/>
            <w:tcMar>
              <w:top w:w="15" w:type="dxa"/>
              <w:left w:w="15" w:type="dxa"/>
              <w:right w:w="15" w:type="dxa"/>
            </w:tcMar>
            <w:vAlign w:val="center"/>
          </w:tcPr>
          <w:p w14:paraId="52EF0CAA">
            <w:pPr>
              <w:pStyle w:val="21"/>
              <w:spacing w:line="240" w:lineRule="auto"/>
              <w:rPr>
                <w:rFonts w:cs="Times New Roman"/>
                <w:lang w:val="en-US"/>
              </w:rPr>
            </w:pPr>
            <w:r>
              <w:rPr>
                <w:rFonts w:cs="Times New Roman"/>
                <w:lang w:val="en-US"/>
              </w:rPr>
              <w:t>1</w:t>
            </w:r>
          </w:p>
        </w:tc>
        <w:tc>
          <w:tcPr>
            <w:tcW w:w="1020" w:type="pct"/>
            <w:tcMar>
              <w:top w:w="15" w:type="dxa"/>
              <w:left w:w="15" w:type="dxa"/>
              <w:right w:w="15" w:type="dxa"/>
            </w:tcMar>
            <w:vAlign w:val="center"/>
          </w:tcPr>
          <w:p w14:paraId="647783CC">
            <w:pPr>
              <w:pStyle w:val="21"/>
              <w:spacing w:line="240" w:lineRule="auto"/>
              <w:jc w:val="left"/>
              <w:rPr>
                <w:rFonts w:cs="Times New Roman"/>
                <w:lang w:val="en-US"/>
              </w:rPr>
            </w:pPr>
            <w:r>
              <w:rPr>
                <w:rFonts w:cs="Times New Roman"/>
                <w:lang w:val="en-US"/>
              </w:rPr>
              <w:t>考察部门专项是否有开展事前评估、目标管理、跟踪评价、自评价和整改落实。</w:t>
            </w:r>
          </w:p>
        </w:tc>
        <w:tc>
          <w:tcPr>
            <w:tcW w:w="1236" w:type="pct"/>
            <w:tcMar>
              <w:top w:w="15" w:type="dxa"/>
              <w:left w:w="15" w:type="dxa"/>
              <w:right w:w="15" w:type="dxa"/>
            </w:tcMar>
            <w:vAlign w:val="center"/>
          </w:tcPr>
          <w:p w14:paraId="6D13177F">
            <w:pPr>
              <w:pStyle w:val="21"/>
              <w:spacing w:line="240" w:lineRule="auto"/>
              <w:jc w:val="left"/>
              <w:rPr>
                <w:rFonts w:cs="Times New Roman"/>
                <w:lang w:val="en-US"/>
              </w:rPr>
            </w:pPr>
            <w:r>
              <w:rPr>
                <w:rFonts w:cs="Times New Roman"/>
                <w:lang w:val="en-US"/>
              </w:rPr>
              <w:t>部门专项是否有开展事前评估、目标管理、跟踪评价、自评价和整改落实。以上5项各占1/5权重分，符合得对应权重分，否则不得分。</w:t>
            </w:r>
          </w:p>
        </w:tc>
        <w:tc>
          <w:tcPr>
            <w:tcW w:w="340" w:type="pct"/>
            <w:tcMar>
              <w:top w:w="15" w:type="dxa"/>
              <w:left w:w="15" w:type="dxa"/>
              <w:right w:w="15" w:type="dxa"/>
            </w:tcMar>
            <w:vAlign w:val="center"/>
          </w:tcPr>
          <w:p w14:paraId="23FFC5BE">
            <w:pPr>
              <w:pStyle w:val="21"/>
              <w:tabs>
                <w:tab w:val="left" w:pos="654"/>
              </w:tabs>
              <w:spacing w:line="240" w:lineRule="auto"/>
              <w:rPr>
                <w:rFonts w:cs="Times New Roman"/>
                <w:lang w:val="en-US"/>
              </w:rPr>
            </w:pPr>
            <w:r>
              <w:rPr>
                <w:rFonts w:cs="Times New Roman"/>
                <w:lang w:val="en-US"/>
              </w:rPr>
              <w:t>有序</w:t>
            </w:r>
          </w:p>
        </w:tc>
        <w:tc>
          <w:tcPr>
            <w:tcW w:w="319" w:type="pct"/>
            <w:tcMar>
              <w:top w:w="15" w:type="dxa"/>
              <w:left w:w="15" w:type="dxa"/>
              <w:right w:w="15" w:type="dxa"/>
            </w:tcMar>
            <w:vAlign w:val="center"/>
          </w:tcPr>
          <w:p w14:paraId="2862C7C3">
            <w:pPr>
              <w:pStyle w:val="21"/>
              <w:tabs>
                <w:tab w:val="left" w:pos="654"/>
              </w:tabs>
              <w:spacing w:line="240" w:lineRule="auto"/>
              <w:rPr>
                <w:rFonts w:cs="Times New Roman"/>
                <w:lang w:val="en-US"/>
              </w:rPr>
            </w:pPr>
            <w:r>
              <w:rPr>
                <w:rFonts w:cs="Times New Roman"/>
                <w:lang w:val="en-US"/>
              </w:rPr>
              <w:t>1</w:t>
            </w:r>
          </w:p>
        </w:tc>
        <w:tc>
          <w:tcPr>
            <w:tcW w:w="319" w:type="pct"/>
            <w:tcMar>
              <w:top w:w="15" w:type="dxa"/>
              <w:left w:w="15" w:type="dxa"/>
              <w:right w:w="15" w:type="dxa"/>
            </w:tcMar>
            <w:vAlign w:val="center"/>
          </w:tcPr>
          <w:p w14:paraId="41D12ADE">
            <w:pPr>
              <w:pStyle w:val="21"/>
              <w:tabs>
                <w:tab w:val="left" w:pos="654"/>
              </w:tabs>
              <w:spacing w:line="240" w:lineRule="auto"/>
              <w:rPr>
                <w:rFonts w:cs="Times New Roman"/>
                <w:lang w:val="en-US"/>
              </w:rPr>
            </w:pPr>
          </w:p>
        </w:tc>
      </w:tr>
      <w:tr w14:paraId="697A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5" w:type="pct"/>
            <w:vMerge w:val="continue"/>
            <w:tcMar>
              <w:top w:w="15" w:type="dxa"/>
              <w:left w:w="15" w:type="dxa"/>
              <w:right w:w="15" w:type="dxa"/>
            </w:tcMar>
            <w:vAlign w:val="center"/>
          </w:tcPr>
          <w:p w14:paraId="58EBFA14">
            <w:pPr>
              <w:pStyle w:val="21"/>
              <w:spacing w:line="240" w:lineRule="auto"/>
              <w:jc w:val="left"/>
              <w:rPr>
                <w:rFonts w:cs="Times New Roman"/>
              </w:rPr>
            </w:pPr>
          </w:p>
        </w:tc>
        <w:tc>
          <w:tcPr>
            <w:tcW w:w="379" w:type="pct"/>
            <w:vMerge w:val="continue"/>
            <w:tcMar>
              <w:top w:w="15" w:type="dxa"/>
              <w:left w:w="15" w:type="dxa"/>
              <w:right w:w="15" w:type="dxa"/>
            </w:tcMar>
            <w:vAlign w:val="center"/>
          </w:tcPr>
          <w:p w14:paraId="50127C1F">
            <w:pPr>
              <w:pStyle w:val="21"/>
              <w:spacing w:line="240" w:lineRule="auto"/>
              <w:jc w:val="left"/>
              <w:rPr>
                <w:rFonts w:cs="Times New Roman"/>
              </w:rPr>
            </w:pPr>
          </w:p>
        </w:tc>
        <w:tc>
          <w:tcPr>
            <w:tcW w:w="502" w:type="pct"/>
            <w:tcMar>
              <w:top w:w="15" w:type="dxa"/>
              <w:left w:w="15" w:type="dxa"/>
              <w:right w:w="15" w:type="dxa"/>
            </w:tcMar>
            <w:vAlign w:val="center"/>
          </w:tcPr>
          <w:p w14:paraId="05EE84C9">
            <w:pPr>
              <w:pStyle w:val="21"/>
              <w:spacing w:line="240" w:lineRule="auto"/>
              <w:jc w:val="left"/>
              <w:rPr>
                <w:rFonts w:cs="Times New Roman"/>
              </w:rPr>
            </w:pPr>
            <w:r>
              <w:rPr>
                <w:rFonts w:cs="Times New Roman"/>
                <w:lang w:val="en-US"/>
              </w:rPr>
              <w:t>B63绩效信息公开</w:t>
            </w:r>
          </w:p>
        </w:tc>
        <w:tc>
          <w:tcPr>
            <w:tcW w:w="355" w:type="pct"/>
            <w:tcMar>
              <w:top w:w="15" w:type="dxa"/>
              <w:left w:w="15" w:type="dxa"/>
              <w:right w:w="15" w:type="dxa"/>
            </w:tcMar>
            <w:vAlign w:val="center"/>
          </w:tcPr>
          <w:p w14:paraId="5D7B2355">
            <w:pPr>
              <w:pStyle w:val="21"/>
              <w:spacing w:line="240" w:lineRule="auto"/>
              <w:ind w:firstLine="220" w:firstLineChars="100"/>
              <w:jc w:val="both"/>
              <w:rPr>
                <w:rFonts w:cs="Times New Roman"/>
              </w:rPr>
            </w:pPr>
            <w:r>
              <w:rPr>
                <w:rFonts w:cs="Times New Roman"/>
                <w:lang w:val="en-US"/>
              </w:rPr>
              <w:t>公开</w:t>
            </w:r>
          </w:p>
        </w:tc>
        <w:tc>
          <w:tcPr>
            <w:tcW w:w="229" w:type="pct"/>
            <w:tcMar>
              <w:top w:w="15" w:type="dxa"/>
              <w:left w:w="15" w:type="dxa"/>
              <w:right w:w="15" w:type="dxa"/>
            </w:tcMar>
            <w:vAlign w:val="center"/>
          </w:tcPr>
          <w:p w14:paraId="5A0CC414">
            <w:pPr>
              <w:pStyle w:val="21"/>
              <w:spacing w:line="240" w:lineRule="auto"/>
              <w:rPr>
                <w:rFonts w:cs="Times New Roman"/>
                <w:lang w:val="en-US"/>
              </w:rPr>
            </w:pPr>
            <w:r>
              <w:rPr>
                <w:rFonts w:cs="Times New Roman"/>
                <w:lang w:val="en-US"/>
              </w:rPr>
              <w:t>1</w:t>
            </w:r>
          </w:p>
        </w:tc>
        <w:tc>
          <w:tcPr>
            <w:tcW w:w="1020" w:type="pct"/>
            <w:tcMar>
              <w:top w:w="15" w:type="dxa"/>
              <w:left w:w="15" w:type="dxa"/>
              <w:right w:w="15" w:type="dxa"/>
            </w:tcMar>
            <w:vAlign w:val="center"/>
          </w:tcPr>
          <w:p w14:paraId="643FDD69">
            <w:pPr>
              <w:pStyle w:val="21"/>
              <w:spacing w:line="240" w:lineRule="auto"/>
              <w:jc w:val="left"/>
              <w:rPr>
                <w:rFonts w:cs="Times New Roman"/>
              </w:rPr>
            </w:pPr>
            <w:r>
              <w:rPr>
                <w:rFonts w:cs="Times New Roman"/>
                <w:lang w:val="en-US"/>
              </w:rPr>
              <w:t>考察部门绩效信息是否按照规定的内容和时限在“双平台”进行公开。</w:t>
            </w:r>
          </w:p>
        </w:tc>
        <w:tc>
          <w:tcPr>
            <w:tcW w:w="1236" w:type="pct"/>
            <w:tcMar>
              <w:top w:w="15" w:type="dxa"/>
              <w:left w:w="15" w:type="dxa"/>
              <w:right w:w="15" w:type="dxa"/>
            </w:tcMar>
            <w:vAlign w:val="center"/>
          </w:tcPr>
          <w:p w14:paraId="6FF30308">
            <w:pPr>
              <w:pStyle w:val="21"/>
              <w:spacing w:line="240" w:lineRule="auto"/>
              <w:jc w:val="left"/>
              <w:rPr>
                <w:rFonts w:cs="Times New Roman"/>
              </w:rPr>
            </w:pPr>
            <w:r>
              <w:rPr>
                <w:rFonts w:hint="eastAsia" w:ascii="宋体" w:hAnsi="宋体" w:eastAsia="宋体"/>
                <w:lang w:val="en-US"/>
              </w:rPr>
              <w:t>①</w:t>
            </w:r>
            <w:r>
              <w:rPr>
                <w:rFonts w:cs="Times New Roman"/>
                <w:lang w:val="en-US"/>
              </w:rPr>
              <w:t>部门绩效信息汇总至主管部门，由主管部门在江苏省预决算公开统一平台和部门门户网站公开；</w:t>
            </w:r>
            <w:r>
              <w:rPr>
                <w:rFonts w:hint="eastAsia" w:ascii="宋体" w:hAnsi="宋体" w:eastAsia="宋体"/>
                <w:lang w:val="en-US"/>
              </w:rPr>
              <w:t>②</w:t>
            </w:r>
            <w:r>
              <w:rPr>
                <w:rFonts w:cs="Times New Roman"/>
                <w:lang w:val="en-US"/>
              </w:rPr>
              <w:t>按规定时限公开部门绩效信息。以上2项各占1/2权重分，符合得对应权重分，否则不得分。</w:t>
            </w:r>
          </w:p>
        </w:tc>
        <w:tc>
          <w:tcPr>
            <w:tcW w:w="340" w:type="pct"/>
            <w:tcMar>
              <w:top w:w="15" w:type="dxa"/>
              <w:left w:w="15" w:type="dxa"/>
              <w:right w:w="15" w:type="dxa"/>
            </w:tcMar>
            <w:vAlign w:val="center"/>
          </w:tcPr>
          <w:p w14:paraId="245601B8">
            <w:pPr>
              <w:pStyle w:val="21"/>
              <w:spacing w:line="240" w:lineRule="auto"/>
              <w:rPr>
                <w:rFonts w:eastAsia="宋体" w:cs="Times New Roman"/>
                <w:lang w:val="en-US"/>
              </w:rPr>
            </w:pPr>
            <w:r>
              <w:rPr>
                <w:rFonts w:cs="Times New Roman"/>
                <w:lang w:val="en-US"/>
              </w:rPr>
              <w:t>公开</w:t>
            </w:r>
          </w:p>
        </w:tc>
        <w:tc>
          <w:tcPr>
            <w:tcW w:w="319" w:type="pct"/>
            <w:tcMar>
              <w:top w:w="15" w:type="dxa"/>
              <w:left w:w="15" w:type="dxa"/>
              <w:right w:w="15" w:type="dxa"/>
            </w:tcMar>
            <w:vAlign w:val="center"/>
          </w:tcPr>
          <w:p w14:paraId="74A4F37B">
            <w:pPr>
              <w:pStyle w:val="21"/>
              <w:spacing w:line="240" w:lineRule="auto"/>
              <w:rPr>
                <w:rFonts w:eastAsia="宋体" w:cs="Times New Roman"/>
                <w:lang w:val="en-US"/>
              </w:rPr>
            </w:pPr>
            <w:r>
              <w:rPr>
                <w:rFonts w:eastAsia="宋体" w:cs="Times New Roman"/>
                <w:lang w:val="en-US"/>
              </w:rPr>
              <w:t>1</w:t>
            </w:r>
          </w:p>
        </w:tc>
        <w:tc>
          <w:tcPr>
            <w:tcW w:w="319" w:type="pct"/>
            <w:tcMar>
              <w:top w:w="15" w:type="dxa"/>
              <w:left w:w="15" w:type="dxa"/>
              <w:right w:w="15" w:type="dxa"/>
            </w:tcMar>
            <w:vAlign w:val="center"/>
          </w:tcPr>
          <w:p w14:paraId="4C8CB605">
            <w:pPr>
              <w:pStyle w:val="21"/>
              <w:spacing w:line="240" w:lineRule="auto"/>
              <w:rPr>
                <w:rFonts w:eastAsia="宋体" w:cs="Times New Roman"/>
                <w:lang w:val="en-US"/>
              </w:rPr>
            </w:pPr>
          </w:p>
        </w:tc>
      </w:tr>
      <w:tr w14:paraId="39F4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restart"/>
            <w:tcMar>
              <w:top w:w="15" w:type="dxa"/>
              <w:left w:w="15" w:type="dxa"/>
              <w:right w:w="15" w:type="dxa"/>
            </w:tcMar>
            <w:vAlign w:val="center"/>
          </w:tcPr>
          <w:p w14:paraId="3D8F0A3B">
            <w:pPr>
              <w:pStyle w:val="21"/>
              <w:spacing w:line="240" w:lineRule="auto"/>
              <w:jc w:val="left"/>
              <w:rPr>
                <w:rFonts w:cs="Times New Roman"/>
              </w:rPr>
            </w:pPr>
            <w:r>
              <w:rPr>
                <w:rFonts w:cs="Times New Roman"/>
                <w:lang w:val="en-US"/>
              </w:rPr>
              <w:t>C部门履职（30分）</w:t>
            </w:r>
          </w:p>
        </w:tc>
        <w:tc>
          <w:tcPr>
            <w:tcW w:w="379" w:type="pct"/>
            <w:vMerge w:val="restart"/>
            <w:tcMar>
              <w:top w:w="15" w:type="dxa"/>
              <w:left w:w="15" w:type="dxa"/>
              <w:right w:w="15" w:type="dxa"/>
            </w:tcMar>
            <w:vAlign w:val="center"/>
          </w:tcPr>
          <w:p w14:paraId="765754E8">
            <w:pPr>
              <w:pStyle w:val="21"/>
              <w:spacing w:line="240" w:lineRule="auto"/>
              <w:jc w:val="left"/>
              <w:rPr>
                <w:rFonts w:cs="Times New Roman"/>
                <w:lang w:val="en-US"/>
              </w:rPr>
            </w:pPr>
            <w:r>
              <w:rPr>
                <w:rFonts w:cs="Times New Roman"/>
                <w:lang w:val="en-US"/>
              </w:rPr>
              <w:t>C1校园安全</w:t>
            </w:r>
          </w:p>
        </w:tc>
        <w:tc>
          <w:tcPr>
            <w:tcW w:w="502" w:type="pct"/>
            <w:tcMar>
              <w:top w:w="15" w:type="dxa"/>
              <w:left w:w="15" w:type="dxa"/>
              <w:right w:w="15" w:type="dxa"/>
            </w:tcMar>
            <w:vAlign w:val="center"/>
          </w:tcPr>
          <w:p w14:paraId="17FED84B">
            <w:pPr>
              <w:pStyle w:val="21"/>
              <w:spacing w:line="240" w:lineRule="auto"/>
              <w:jc w:val="left"/>
              <w:rPr>
                <w:rFonts w:cs="Times New Roman"/>
                <w:lang w:val="en-US"/>
              </w:rPr>
            </w:pPr>
            <w:r>
              <w:rPr>
                <w:rFonts w:cs="Times New Roman"/>
                <w:lang w:val="en-US"/>
              </w:rPr>
              <w:t>C11园内安保、绿化、保洁等工作</w:t>
            </w:r>
          </w:p>
        </w:tc>
        <w:tc>
          <w:tcPr>
            <w:tcW w:w="355" w:type="pct"/>
            <w:noWrap/>
            <w:tcMar>
              <w:top w:w="15" w:type="dxa"/>
              <w:left w:w="15" w:type="dxa"/>
              <w:right w:w="15" w:type="dxa"/>
            </w:tcMar>
            <w:vAlign w:val="center"/>
          </w:tcPr>
          <w:p w14:paraId="0B6CCE45">
            <w:pPr>
              <w:pStyle w:val="21"/>
              <w:spacing w:line="240" w:lineRule="auto"/>
              <w:rPr>
                <w:rFonts w:cs="Times New Roman"/>
              </w:rPr>
            </w:pPr>
            <w:r>
              <w:rPr>
                <w:rFonts w:cs="Times New Roman"/>
              </w:rPr>
              <w:t>达标</w:t>
            </w:r>
          </w:p>
        </w:tc>
        <w:tc>
          <w:tcPr>
            <w:tcW w:w="229" w:type="pct"/>
            <w:tcMar>
              <w:top w:w="15" w:type="dxa"/>
              <w:left w:w="15" w:type="dxa"/>
              <w:right w:w="15" w:type="dxa"/>
            </w:tcMar>
            <w:vAlign w:val="center"/>
          </w:tcPr>
          <w:p w14:paraId="624D1CE2">
            <w:pPr>
              <w:pStyle w:val="21"/>
              <w:spacing w:line="240" w:lineRule="auto"/>
              <w:rPr>
                <w:rFonts w:cs="Times New Roman"/>
                <w:lang w:val="en-US"/>
              </w:rPr>
            </w:pPr>
            <w:r>
              <w:rPr>
                <w:rFonts w:cs="Times New Roman"/>
                <w:lang w:val="en-US"/>
              </w:rPr>
              <w:t>3</w:t>
            </w:r>
          </w:p>
        </w:tc>
        <w:tc>
          <w:tcPr>
            <w:tcW w:w="1020" w:type="pct"/>
            <w:tcMar>
              <w:top w:w="15" w:type="dxa"/>
              <w:left w:w="15" w:type="dxa"/>
              <w:right w:w="15" w:type="dxa"/>
            </w:tcMar>
            <w:vAlign w:val="center"/>
          </w:tcPr>
          <w:p w14:paraId="33B16A32">
            <w:pPr>
              <w:pStyle w:val="21"/>
              <w:spacing w:line="240" w:lineRule="auto"/>
              <w:jc w:val="left"/>
              <w:rPr>
                <w:rFonts w:cs="Times New Roman"/>
                <w:lang w:val="en-US"/>
              </w:rPr>
            </w:pPr>
            <w:r>
              <w:rPr>
                <w:rFonts w:cs="Times New Roman"/>
              </w:rPr>
              <w:t>考察校园综合治理情况</w:t>
            </w:r>
          </w:p>
        </w:tc>
        <w:tc>
          <w:tcPr>
            <w:tcW w:w="1236" w:type="pct"/>
            <w:tcMar>
              <w:top w:w="15" w:type="dxa"/>
              <w:left w:w="15" w:type="dxa"/>
              <w:right w:w="15" w:type="dxa"/>
            </w:tcMar>
            <w:vAlign w:val="center"/>
          </w:tcPr>
          <w:p w14:paraId="7FA8C50F">
            <w:pPr>
              <w:pStyle w:val="21"/>
              <w:spacing w:line="240" w:lineRule="auto"/>
              <w:jc w:val="left"/>
              <w:rPr>
                <w:rFonts w:cs="Times New Roman"/>
              </w:rPr>
            </w:pPr>
            <w:r>
              <w:rPr>
                <w:rFonts w:cs="Times New Roman"/>
                <w:lang w:val="en-US"/>
              </w:rPr>
              <w:t>达到目标值得满分</w:t>
            </w:r>
            <w:r>
              <w:rPr>
                <w:rFonts w:cs="Times New Roman"/>
              </w:rPr>
              <w:t>，否则不得分。</w:t>
            </w:r>
          </w:p>
        </w:tc>
        <w:tc>
          <w:tcPr>
            <w:tcW w:w="340" w:type="pct"/>
            <w:tcMar>
              <w:top w:w="15" w:type="dxa"/>
              <w:left w:w="15" w:type="dxa"/>
              <w:right w:w="15" w:type="dxa"/>
            </w:tcMar>
            <w:vAlign w:val="center"/>
          </w:tcPr>
          <w:p w14:paraId="1771CFE6">
            <w:pPr>
              <w:pStyle w:val="21"/>
              <w:spacing w:line="240" w:lineRule="auto"/>
              <w:rPr>
                <w:rFonts w:cs="Times New Roman"/>
                <w:lang w:val="en-US"/>
              </w:rPr>
            </w:pPr>
            <w:r>
              <w:rPr>
                <w:rFonts w:cs="Times New Roman"/>
              </w:rPr>
              <w:t>达标</w:t>
            </w:r>
          </w:p>
        </w:tc>
        <w:tc>
          <w:tcPr>
            <w:tcW w:w="319" w:type="pct"/>
            <w:tcMar>
              <w:top w:w="15" w:type="dxa"/>
              <w:left w:w="15" w:type="dxa"/>
              <w:right w:w="15" w:type="dxa"/>
            </w:tcMar>
            <w:vAlign w:val="center"/>
          </w:tcPr>
          <w:p w14:paraId="25D1983B">
            <w:pPr>
              <w:pStyle w:val="21"/>
              <w:spacing w:line="240" w:lineRule="auto"/>
              <w:rPr>
                <w:rFonts w:cs="Times New Roman"/>
                <w:lang w:val="en-US"/>
              </w:rPr>
            </w:pPr>
            <w:r>
              <w:rPr>
                <w:rFonts w:cs="Times New Roman"/>
                <w:lang w:val="en-US"/>
              </w:rPr>
              <w:t>3</w:t>
            </w:r>
          </w:p>
        </w:tc>
        <w:tc>
          <w:tcPr>
            <w:tcW w:w="319" w:type="pct"/>
            <w:tcMar>
              <w:top w:w="15" w:type="dxa"/>
              <w:left w:w="15" w:type="dxa"/>
              <w:right w:w="15" w:type="dxa"/>
            </w:tcMar>
            <w:vAlign w:val="center"/>
          </w:tcPr>
          <w:p w14:paraId="69F351A9">
            <w:pPr>
              <w:pStyle w:val="21"/>
              <w:spacing w:line="240" w:lineRule="auto"/>
              <w:rPr>
                <w:rFonts w:cs="Times New Roman"/>
                <w:lang w:val="en-US"/>
              </w:rPr>
            </w:pPr>
          </w:p>
        </w:tc>
      </w:tr>
      <w:tr w14:paraId="2206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257CA731">
            <w:pPr>
              <w:pStyle w:val="21"/>
              <w:spacing w:line="240" w:lineRule="auto"/>
              <w:jc w:val="left"/>
              <w:rPr>
                <w:rFonts w:cs="Times New Roman"/>
                <w:lang w:val="en-US"/>
              </w:rPr>
            </w:pPr>
          </w:p>
        </w:tc>
        <w:tc>
          <w:tcPr>
            <w:tcW w:w="379" w:type="pct"/>
            <w:vMerge w:val="continue"/>
            <w:tcMar>
              <w:top w:w="15" w:type="dxa"/>
              <w:left w:w="15" w:type="dxa"/>
              <w:right w:w="15" w:type="dxa"/>
            </w:tcMar>
            <w:vAlign w:val="center"/>
          </w:tcPr>
          <w:p w14:paraId="162B7676">
            <w:pPr>
              <w:pStyle w:val="21"/>
              <w:spacing w:line="240" w:lineRule="auto"/>
              <w:jc w:val="left"/>
              <w:rPr>
                <w:rFonts w:cs="Times New Roman"/>
                <w:lang w:val="en-US"/>
              </w:rPr>
            </w:pPr>
          </w:p>
        </w:tc>
        <w:tc>
          <w:tcPr>
            <w:tcW w:w="502" w:type="pct"/>
            <w:tcMar>
              <w:top w:w="15" w:type="dxa"/>
              <w:left w:w="15" w:type="dxa"/>
              <w:right w:w="15" w:type="dxa"/>
            </w:tcMar>
            <w:vAlign w:val="center"/>
          </w:tcPr>
          <w:p w14:paraId="78B06DCB">
            <w:pPr>
              <w:pStyle w:val="21"/>
              <w:spacing w:line="240" w:lineRule="auto"/>
              <w:ind w:firstLine="0" w:firstLineChars="0"/>
              <w:jc w:val="left"/>
              <w:rPr>
                <w:rFonts w:ascii="Times New Roman" w:hAnsi="Times New Roman" w:eastAsia="仿宋_GB2312" w:cs="Times New Roman"/>
                <w:bCs/>
                <w:color w:val="000000"/>
                <w:kern w:val="0"/>
                <w:sz w:val="22"/>
                <w:szCs w:val="22"/>
                <w:lang w:val="en-US" w:eastAsia="zh-CN" w:bidi="ar-SA"/>
              </w:rPr>
            </w:pPr>
            <w:r>
              <w:rPr>
                <w:rFonts w:cs="Times New Roman"/>
                <w:lang w:val="en-US"/>
              </w:rPr>
              <w:t>C12园内设备运转</w:t>
            </w:r>
          </w:p>
        </w:tc>
        <w:tc>
          <w:tcPr>
            <w:tcW w:w="355" w:type="pct"/>
            <w:noWrap/>
            <w:tcMar>
              <w:top w:w="15" w:type="dxa"/>
              <w:left w:w="15" w:type="dxa"/>
              <w:right w:w="15" w:type="dxa"/>
            </w:tcMar>
            <w:vAlign w:val="center"/>
          </w:tcPr>
          <w:p w14:paraId="2357C809">
            <w:pPr>
              <w:pStyle w:val="21"/>
              <w:spacing w:line="240" w:lineRule="auto"/>
              <w:ind w:firstLine="0" w:firstLineChars="0"/>
              <w:rPr>
                <w:rFonts w:ascii="Times New Roman" w:hAnsi="Times New Roman" w:eastAsia="仿宋_GB2312" w:cs="Times New Roman"/>
                <w:bCs/>
                <w:color w:val="000000"/>
                <w:kern w:val="0"/>
                <w:sz w:val="22"/>
                <w:szCs w:val="22"/>
                <w:lang w:val="en-US" w:eastAsia="zh-CN" w:bidi="ar-SA"/>
              </w:rPr>
            </w:pPr>
            <w:r>
              <w:rPr>
                <w:rFonts w:cs="Times New Roman"/>
                <w:lang w:val="en-US"/>
              </w:rPr>
              <w:t>良好</w:t>
            </w:r>
          </w:p>
        </w:tc>
        <w:tc>
          <w:tcPr>
            <w:tcW w:w="229" w:type="pct"/>
            <w:tcMar>
              <w:top w:w="15" w:type="dxa"/>
              <w:left w:w="15" w:type="dxa"/>
              <w:right w:w="15" w:type="dxa"/>
            </w:tcMar>
            <w:vAlign w:val="center"/>
          </w:tcPr>
          <w:p w14:paraId="34AEE27B">
            <w:pPr>
              <w:pStyle w:val="21"/>
              <w:spacing w:line="240" w:lineRule="auto"/>
              <w:ind w:firstLine="0" w:firstLineChars="0"/>
              <w:rPr>
                <w:rFonts w:ascii="Times New Roman" w:hAnsi="Times New Roman" w:eastAsia="仿宋_GB2312" w:cs="Times New Roman"/>
                <w:bCs/>
                <w:color w:val="000000"/>
                <w:kern w:val="0"/>
                <w:sz w:val="22"/>
                <w:szCs w:val="22"/>
                <w:lang w:val="en-US" w:eastAsia="zh-CN" w:bidi="ar-SA"/>
              </w:rPr>
            </w:pPr>
            <w:r>
              <w:rPr>
                <w:rFonts w:cs="Times New Roman"/>
                <w:lang w:val="en-US"/>
              </w:rPr>
              <w:t>3</w:t>
            </w:r>
          </w:p>
        </w:tc>
        <w:tc>
          <w:tcPr>
            <w:tcW w:w="1020" w:type="pct"/>
            <w:tcMar>
              <w:top w:w="15" w:type="dxa"/>
              <w:left w:w="15" w:type="dxa"/>
              <w:right w:w="15" w:type="dxa"/>
            </w:tcMar>
            <w:vAlign w:val="center"/>
          </w:tcPr>
          <w:p w14:paraId="5096BE77">
            <w:pPr>
              <w:pStyle w:val="21"/>
              <w:spacing w:line="240" w:lineRule="auto"/>
              <w:ind w:firstLine="0" w:firstLineChars="0"/>
              <w:jc w:val="left"/>
              <w:rPr>
                <w:rFonts w:ascii="Times New Roman" w:hAnsi="Times New Roman" w:eastAsia="仿宋_GB2312" w:cs="Times New Roman"/>
                <w:bCs/>
                <w:color w:val="000000"/>
                <w:kern w:val="0"/>
                <w:sz w:val="22"/>
                <w:szCs w:val="22"/>
                <w:lang w:val="zh-CN" w:eastAsia="zh-CN" w:bidi="ar-SA"/>
              </w:rPr>
            </w:pPr>
            <w:r>
              <w:rPr>
                <w:rFonts w:cs="Times New Roman"/>
              </w:rPr>
              <w:t>考察园舍设备运转情况。</w:t>
            </w:r>
          </w:p>
        </w:tc>
        <w:tc>
          <w:tcPr>
            <w:tcW w:w="1236" w:type="pct"/>
            <w:tcMar>
              <w:top w:w="15" w:type="dxa"/>
              <w:left w:w="15" w:type="dxa"/>
              <w:right w:w="15" w:type="dxa"/>
            </w:tcMar>
            <w:vAlign w:val="center"/>
          </w:tcPr>
          <w:p w14:paraId="299904BE">
            <w:pPr>
              <w:pStyle w:val="21"/>
              <w:spacing w:line="240" w:lineRule="auto"/>
              <w:ind w:firstLine="0" w:firstLineChars="0"/>
              <w:jc w:val="left"/>
              <w:rPr>
                <w:rFonts w:ascii="Times New Roman" w:hAnsi="Times New Roman" w:eastAsia="仿宋_GB2312" w:cs="Times New Roman"/>
                <w:bCs/>
                <w:color w:val="000000"/>
                <w:kern w:val="0"/>
                <w:sz w:val="22"/>
                <w:szCs w:val="22"/>
                <w:lang w:val="en-US" w:eastAsia="zh-CN" w:bidi="ar-SA"/>
              </w:rPr>
            </w:pPr>
            <w:r>
              <w:rPr>
                <w:rFonts w:cs="Times New Roman"/>
              </w:rPr>
              <w:t>达到目标值得满分，每出现一次事故扣1分，扣完为止。</w:t>
            </w:r>
          </w:p>
        </w:tc>
        <w:tc>
          <w:tcPr>
            <w:tcW w:w="340" w:type="pct"/>
            <w:tcMar>
              <w:top w:w="15" w:type="dxa"/>
              <w:left w:w="15" w:type="dxa"/>
              <w:right w:w="15" w:type="dxa"/>
            </w:tcMar>
            <w:vAlign w:val="center"/>
          </w:tcPr>
          <w:p w14:paraId="40E1405B">
            <w:pPr>
              <w:pStyle w:val="21"/>
              <w:spacing w:line="240" w:lineRule="auto"/>
              <w:rPr>
                <w:rFonts w:hint="eastAsia" w:cs="Times New Roman"/>
                <w:lang w:val="en-US" w:eastAsia="zh-CN"/>
              </w:rPr>
            </w:pPr>
            <w:r>
              <w:rPr>
                <w:rFonts w:cs="Times New Roman"/>
                <w:lang w:val="en-US"/>
              </w:rPr>
              <w:t>良好</w:t>
            </w:r>
          </w:p>
        </w:tc>
        <w:tc>
          <w:tcPr>
            <w:tcW w:w="319" w:type="pct"/>
            <w:tcMar>
              <w:top w:w="15" w:type="dxa"/>
              <w:left w:w="15" w:type="dxa"/>
              <w:right w:w="15" w:type="dxa"/>
            </w:tcMar>
            <w:vAlign w:val="center"/>
          </w:tcPr>
          <w:p w14:paraId="55DF4E17">
            <w:pPr>
              <w:pStyle w:val="21"/>
              <w:spacing w:line="240" w:lineRule="auto"/>
              <w:rPr>
                <w:rFonts w:hint="eastAsia" w:eastAsia="仿宋_GB2312" w:cs="Times New Roman"/>
                <w:lang w:val="en-US" w:eastAsia="zh-CN"/>
              </w:rPr>
            </w:pPr>
            <w:r>
              <w:rPr>
                <w:rFonts w:hint="eastAsia" w:cs="Times New Roman"/>
                <w:lang w:val="en-US" w:eastAsia="zh-CN"/>
              </w:rPr>
              <w:t>3</w:t>
            </w:r>
          </w:p>
        </w:tc>
        <w:tc>
          <w:tcPr>
            <w:tcW w:w="319" w:type="pct"/>
            <w:tcMar>
              <w:top w:w="15" w:type="dxa"/>
              <w:left w:w="15" w:type="dxa"/>
              <w:right w:w="15" w:type="dxa"/>
            </w:tcMar>
            <w:vAlign w:val="center"/>
          </w:tcPr>
          <w:p w14:paraId="1CF3C778">
            <w:pPr>
              <w:pStyle w:val="21"/>
              <w:spacing w:line="240" w:lineRule="auto"/>
              <w:rPr>
                <w:rFonts w:hint="eastAsia" w:cs="Times New Roman"/>
                <w:lang w:val="en-US" w:eastAsia="zh-CN"/>
              </w:rPr>
            </w:pPr>
          </w:p>
        </w:tc>
      </w:tr>
      <w:tr w14:paraId="7266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502BF0E6">
            <w:pPr>
              <w:pStyle w:val="21"/>
              <w:spacing w:line="240" w:lineRule="auto"/>
              <w:jc w:val="left"/>
              <w:rPr>
                <w:rFonts w:cs="Times New Roman"/>
              </w:rPr>
            </w:pPr>
          </w:p>
        </w:tc>
        <w:tc>
          <w:tcPr>
            <w:tcW w:w="379" w:type="pct"/>
            <w:vMerge w:val="continue"/>
            <w:tcMar>
              <w:top w:w="15" w:type="dxa"/>
              <w:left w:w="15" w:type="dxa"/>
              <w:right w:w="15" w:type="dxa"/>
            </w:tcMar>
            <w:vAlign w:val="center"/>
          </w:tcPr>
          <w:p w14:paraId="032D59B2">
            <w:pPr>
              <w:pStyle w:val="21"/>
              <w:spacing w:line="240" w:lineRule="auto"/>
              <w:jc w:val="left"/>
              <w:rPr>
                <w:rFonts w:cs="Times New Roman"/>
              </w:rPr>
            </w:pPr>
          </w:p>
        </w:tc>
        <w:tc>
          <w:tcPr>
            <w:tcW w:w="502" w:type="pct"/>
            <w:tcMar>
              <w:top w:w="15" w:type="dxa"/>
              <w:left w:w="15" w:type="dxa"/>
              <w:right w:w="15" w:type="dxa"/>
            </w:tcMar>
            <w:vAlign w:val="center"/>
          </w:tcPr>
          <w:p w14:paraId="64DB9066">
            <w:pPr>
              <w:pStyle w:val="21"/>
              <w:spacing w:line="240" w:lineRule="auto"/>
              <w:jc w:val="left"/>
              <w:rPr>
                <w:rFonts w:cs="Times New Roman"/>
                <w:lang w:val="en-US"/>
              </w:rPr>
            </w:pPr>
            <w:r>
              <w:rPr>
                <w:rFonts w:cs="Times New Roman"/>
                <w:lang w:val="en-US"/>
              </w:rPr>
              <w:t>C1</w:t>
            </w:r>
            <w:r>
              <w:rPr>
                <w:rFonts w:hint="eastAsia" w:cs="Times New Roman"/>
                <w:lang w:val="en-US" w:eastAsia="zh-CN"/>
              </w:rPr>
              <w:t>3</w:t>
            </w:r>
            <w:r>
              <w:rPr>
                <w:rFonts w:cs="Times New Roman"/>
                <w:lang w:val="en-US"/>
              </w:rPr>
              <w:t>园舍安全</w:t>
            </w:r>
          </w:p>
        </w:tc>
        <w:tc>
          <w:tcPr>
            <w:tcW w:w="355" w:type="pct"/>
            <w:noWrap/>
            <w:tcMar>
              <w:top w:w="15" w:type="dxa"/>
              <w:left w:w="15" w:type="dxa"/>
              <w:right w:w="15" w:type="dxa"/>
            </w:tcMar>
            <w:vAlign w:val="center"/>
          </w:tcPr>
          <w:p w14:paraId="3529786D">
            <w:pPr>
              <w:pStyle w:val="21"/>
              <w:spacing w:line="240" w:lineRule="auto"/>
              <w:rPr>
                <w:rFonts w:cs="Times New Roman"/>
              </w:rPr>
            </w:pPr>
            <w:r>
              <w:rPr>
                <w:rFonts w:cs="Times New Roman"/>
              </w:rPr>
              <w:t>安全</w:t>
            </w:r>
          </w:p>
        </w:tc>
        <w:tc>
          <w:tcPr>
            <w:tcW w:w="229" w:type="pct"/>
            <w:tcMar>
              <w:top w:w="15" w:type="dxa"/>
              <w:left w:w="15" w:type="dxa"/>
              <w:right w:w="15" w:type="dxa"/>
            </w:tcMar>
            <w:vAlign w:val="center"/>
          </w:tcPr>
          <w:p w14:paraId="587E7690">
            <w:pPr>
              <w:pStyle w:val="21"/>
              <w:spacing w:line="240" w:lineRule="auto"/>
              <w:rPr>
                <w:rFonts w:cs="Times New Roman"/>
                <w:lang w:val="en-US"/>
              </w:rPr>
            </w:pPr>
            <w:r>
              <w:rPr>
                <w:rFonts w:cs="Times New Roman"/>
                <w:lang w:val="en-US"/>
              </w:rPr>
              <w:t>3</w:t>
            </w:r>
          </w:p>
        </w:tc>
        <w:tc>
          <w:tcPr>
            <w:tcW w:w="1020" w:type="pct"/>
            <w:tcMar>
              <w:top w:w="15" w:type="dxa"/>
              <w:left w:w="15" w:type="dxa"/>
              <w:right w:w="15" w:type="dxa"/>
            </w:tcMar>
            <w:vAlign w:val="center"/>
          </w:tcPr>
          <w:p w14:paraId="57423706">
            <w:pPr>
              <w:pStyle w:val="21"/>
              <w:spacing w:line="240" w:lineRule="auto"/>
              <w:jc w:val="left"/>
              <w:rPr>
                <w:rFonts w:cs="Times New Roman"/>
              </w:rPr>
            </w:pPr>
            <w:r>
              <w:rPr>
                <w:rFonts w:cs="Times New Roman"/>
              </w:rPr>
              <w:t>考察园舍建筑安全情况。</w:t>
            </w:r>
          </w:p>
        </w:tc>
        <w:tc>
          <w:tcPr>
            <w:tcW w:w="1236" w:type="pct"/>
            <w:tcMar>
              <w:top w:w="15" w:type="dxa"/>
              <w:left w:w="15" w:type="dxa"/>
              <w:right w:w="15" w:type="dxa"/>
            </w:tcMar>
            <w:vAlign w:val="center"/>
          </w:tcPr>
          <w:p w14:paraId="6B8294ED">
            <w:pPr>
              <w:pStyle w:val="21"/>
              <w:spacing w:line="240" w:lineRule="auto"/>
              <w:jc w:val="left"/>
              <w:rPr>
                <w:rFonts w:cs="Times New Roman"/>
              </w:rPr>
            </w:pPr>
            <w:r>
              <w:rPr>
                <w:rFonts w:cs="Times New Roman"/>
              </w:rPr>
              <w:t>达到目标值得满分，每出现一次事故扣1分，扣完为止。</w:t>
            </w:r>
          </w:p>
        </w:tc>
        <w:tc>
          <w:tcPr>
            <w:tcW w:w="340" w:type="pct"/>
            <w:tcMar>
              <w:top w:w="15" w:type="dxa"/>
              <w:left w:w="15" w:type="dxa"/>
              <w:right w:w="15" w:type="dxa"/>
            </w:tcMar>
            <w:vAlign w:val="center"/>
          </w:tcPr>
          <w:p w14:paraId="397060A5">
            <w:pPr>
              <w:pStyle w:val="21"/>
              <w:spacing w:line="240" w:lineRule="auto"/>
              <w:rPr>
                <w:rFonts w:cs="Times New Roman"/>
                <w:lang w:val="en-US"/>
              </w:rPr>
            </w:pPr>
            <w:r>
              <w:rPr>
                <w:rFonts w:cs="Times New Roman"/>
              </w:rPr>
              <w:t>安全</w:t>
            </w:r>
          </w:p>
        </w:tc>
        <w:tc>
          <w:tcPr>
            <w:tcW w:w="319" w:type="pct"/>
            <w:tcMar>
              <w:top w:w="15" w:type="dxa"/>
              <w:left w:w="15" w:type="dxa"/>
              <w:right w:w="15" w:type="dxa"/>
            </w:tcMar>
            <w:vAlign w:val="center"/>
          </w:tcPr>
          <w:p w14:paraId="43E5B6A2">
            <w:pPr>
              <w:pStyle w:val="21"/>
              <w:spacing w:line="240" w:lineRule="auto"/>
              <w:rPr>
                <w:rFonts w:cs="Times New Roman"/>
                <w:lang w:val="en-US"/>
              </w:rPr>
            </w:pPr>
            <w:r>
              <w:rPr>
                <w:rFonts w:cs="Times New Roman"/>
                <w:lang w:val="en-US"/>
              </w:rPr>
              <w:t>3</w:t>
            </w:r>
          </w:p>
        </w:tc>
        <w:tc>
          <w:tcPr>
            <w:tcW w:w="319" w:type="pct"/>
            <w:tcMar>
              <w:top w:w="15" w:type="dxa"/>
              <w:left w:w="15" w:type="dxa"/>
              <w:right w:w="15" w:type="dxa"/>
            </w:tcMar>
            <w:vAlign w:val="center"/>
          </w:tcPr>
          <w:p w14:paraId="7DF5CAA0">
            <w:pPr>
              <w:pStyle w:val="21"/>
              <w:spacing w:line="240" w:lineRule="auto"/>
              <w:rPr>
                <w:rFonts w:cs="Times New Roman"/>
                <w:lang w:val="en-US"/>
              </w:rPr>
            </w:pPr>
          </w:p>
        </w:tc>
      </w:tr>
      <w:tr w14:paraId="22A8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76FCAAE8">
            <w:pPr>
              <w:pStyle w:val="21"/>
              <w:spacing w:line="240" w:lineRule="auto"/>
              <w:jc w:val="left"/>
              <w:rPr>
                <w:rFonts w:cs="Times New Roman"/>
              </w:rPr>
            </w:pPr>
          </w:p>
        </w:tc>
        <w:tc>
          <w:tcPr>
            <w:tcW w:w="379" w:type="pct"/>
            <w:vMerge w:val="restart"/>
            <w:tcMar>
              <w:top w:w="15" w:type="dxa"/>
              <w:left w:w="15" w:type="dxa"/>
              <w:right w:w="15" w:type="dxa"/>
            </w:tcMar>
            <w:vAlign w:val="center"/>
          </w:tcPr>
          <w:p w14:paraId="767FC824">
            <w:pPr>
              <w:pStyle w:val="21"/>
              <w:spacing w:line="240" w:lineRule="auto"/>
              <w:jc w:val="left"/>
              <w:rPr>
                <w:rFonts w:hint="eastAsia" w:eastAsia="仿宋_GB2312" w:cs="Times New Roman"/>
                <w:lang w:val="en-US" w:eastAsia="zh-CN"/>
              </w:rPr>
            </w:pPr>
            <w:r>
              <w:rPr>
                <w:rFonts w:cs="Times New Roman"/>
                <w:lang w:val="en-US"/>
              </w:rPr>
              <w:t>C2</w:t>
            </w:r>
            <w:r>
              <w:rPr>
                <w:rFonts w:hint="eastAsia" w:cs="Times New Roman"/>
                <w:lang w:val="en-US" w:eastAsia="zh-CN"/>
              </w:rPr>
              <w:t>保教工作</w:t>
            </w:r>
          </w:p>
        </w:tc>
        <w:tc>
          <w:tcPr>
            <w:tcW w:w="502" w:type="pct"/>
            <w:tcMar>
              <w:top w:w="15" w:type="dxa"/>
              <w:left w:w="15" w:type="dxa"/>
              <w:right w:w="15" w:type="dxa"/>
            </w:tcMar>
            <w:vAlign w:val="center"/>
          </w:tcPr>
          <w:p w14:paraId="14D484AD">
            <w:pPr>
              <w:pStyle w:val="21"/>
              <w:spacing w:line="240" w:lineRule="auto"/>
              <w:jc w:val="left"/>
              <w:rPr>
                <w:rFonts w:hint="default" w:eastAsia="仿宋_GB2312" w:cs="Times New Roman"/>
                <w:lang w:val="en-US" w:eastAsia="zh-CN"/>
              </w:rPr>
            </w:pPr>
            <w:r>
              <w:rPr>
                <w:rFonts w:cs="Times New Roman"/>
                <w:lang w:val="en-US"/>
              </w:rPr>
              <w:t>C21</w:t>
            </w:r>
            <w:r>
              <w:rPr>
                <w:rFonts w:hint="eastAsia" w:cs="Times New Roman"/>
                <w:lang w:val="en-US" w:eastAsia="zh-CN"/>
              </w:rPr>
              <w:t>足球嘉年华活动数</w:t>
            </w:r>
          </w:p>
        </w:tc>
        <w:tc>
          <w:tcPr>
            <w:tcW w:w="355" w:type="pct"/>
            <w:noWrap/>
            <w:tcMar>
              <w:top w:w="15" w:type="dxa"/>
              <w:left w:w="15" w:type="dxa"/>
              <w:right w:w="15" w:type="dxa"/>
            </w:tcMar>
            <w:vAlign w:val="center"/>
          </w:tcPr>
          <w:p w14:paraId="00BB55B4">
            <w:pPr>
              <w:pStyle w:val="21"/>
              <w:spacing w:line="240" w:lineRule="auto"/>
              <w:rPr>
                <w:rFonts w:hint="default" w:eastAsia="仿宋_GB2312" w:cs="Times New Roman"/>
                <w:lang w:val="en-US" w:eastAsia="zh-CN"/>
              </w:rPr>
            </w:pPr>
            <w:r>
              <w:rPr>
                <w:rFonts w:cs="Times New Roman"/>
                <w:lang w:val="en-US"/>
              </w:rPr>
              <w:t>&gt;=</w:t>
            </w:r>
            <w:r>
              <w:rPr>
                <w:rFonts w:hint="eastAsia" w:cs="Times New Roman"/>
                <w:lang w:val="en-US" w:eastAsia="zh-CN"/>
              </w:rPr>
              <w:t>1</w:t>
            </w:r>
          </w:p>
        </w:tc>
        <w:tc>
          <w:tcPr>
            <w:tcW w:w="229" w:type="pct"/>
            <w:tcMar>
              <w:top w:w="15" w:type="dxa"/>
              <w:left w:w="15" w:type="dxa"/>
              <w:right w:w="15" w:type="dxa"/>
            </w:tcMar>
            <w:vAlign w:val="center"/>
          </w:tcPr>
          <w:p w14:paraId="38381B25">
            <w:pPr>
              <w:pStyle w:val="21"/>
              <w:spacing w:line="240" w:lineRule="auto"/>
              <w:rPr>
                <w:rFonts w:cs="Times New Roman"/>
                <w:lang w:val="en-US"/>
              </w:rPr>
            </w:pPr>
            <w:r>
              <w:rPr>
                <w:rFonts w:cs="Times New Roman"/>
                <w:lang w:val="en-US"/>
              </w:rPr>
              <w:t>2</w:t>
            </w:r>
          </w:p>
        </w:tc>
        <w:tc>
          <w:tcPr>
            <w:tcW w:w="1020" w:type="pct"/>
            <w:tcMar>
              <w:top w:w="15" w:type="dxa"/>
              <w:left w:w="15" w:type="dxa"/>
              <w:right w:w="15" w:type="dxa"/>
            </w:tcMar>
            <w:vAlign w:val="center"/>
          </w:tcPr>
          <w:p w14:paraId="0CA151A2">
            <w:pPr>
              <w:pStyle w:val="21"/>
              <w:spacing w:line="240" w:lineRule="auto"/>
              <w:jc w:val="left"/>
              <w:rPr>
                <w:rFonts w:cs="Times New Roman"/>
                <w:lang w:val="en-US"/>
              </w:rPr>
            </w:pPr>
            <w:r>
              <w:rPr>
                <w:rFonts w:cs="Times New Roman"/>
              </w:rPr>
              <w:t>考察足球学校课程</w:t>
            </w:r>
            <w:r>
              <w:rPr>
                <w:rFonts w:hint="eastAsia" w:cs="Times New Roman"/>
                <w:lang w:val="en-US" w:eastAsia="zh-CN"/>
              </w:rPr>
              <w:t>成果情况</w:t>
            </w:r>
            <w:r>
              <w:rPr>
                <w:rFonts w:cs="Times New Roman"/>
              </w:rPr>
              <w:t>。</w:t>
            </w:r>
          </w:p>
        </w:tc>
        <w:tc>
          <w:tcPr>
            <w:tcW w:w="1236" w:type="pct"/>
            <w:tcMar>
              <w:top w:w="15" w:type="dxa"/>
              <w:left w:w="15" w:type="dxa"/>
              <w:right w:w="15" w:type="dxa"/>
            </w:tcMar>
            <w:vAlign w:val="center"/>
          </w:tcPr>
          <w:p w14:paraId="13167F20">
            <w:pPr>
              <w:pStyle w:val="21"/>
              <w:spacing w:line="240" w:lineRule="auto"/>
              <w:jc w:val="left"/>
              <w:rPr>
                <w:rFonts w:cs="Times New Roman"/>
                <w:lang w:val="en-US"/>
              </w:rPr>
            </w:pPr>
            <w:r>
              <w:rPr>
                <w:rFonts w:cs="Times New Roman"/>
              </w:rPr>
              <w:t>达到目标值得满分，否则不得分。</w:t>
            </w:r>
          </w:p>
        </w:tc>
        <w:tc>
          <w:tcPr>
            <w:tcW w:w="340" w:type="pct"/>
            <w:tcMar>
              <w:top w:w="15" w:type="dxa"/>
              <w:left w:w="15" w:type="dxa"/>
              <w:right w:w="15" w:type="dxa"/>
            </w:tcMar>
            <w:vAlign w:val="center"/>
          </w:tcPr>
          <w:p w14:paraId="23B7662F">
            <w:pPr>
              <w:pStyle w:val="21"/>
              <w:spacing w:line="240" w:lineRule="auto"/>
              <w:rPr>
                <w:rFonts w:hint="eastAsia" w:eastAsia="仿宋_GB2312" w:cs="Times New Roman"/>
                <w:lang w:val="en-US" w:eastAsia="zh-CN"/>
              </w:rPr>
            </w:pPr>
            <w:r>
              <w:rPr>
                <w:rFonts w:hint="eastAsia" w:cs="Times New Roman"/>
                <w:lang w:val="en-US" w:eastAsia="zh-CN"/>
              </w:rPr>
              <w:t>1</w:t>
            </w:r>
          </w:p>
        </w:tc>
        <w:tc>
          <w:tcPr>
            <w:tcW w:w="319" w:type="pct"/>
            <w:tcMar>
              <w:top w:w="15" w:type="dxa"/>
              <w:left w:w="15" w:type="dxa"/>
              <w:right w:w="15" w:type="dxa"/>
            </w:tcMar>
            <w:vAlign w:val="center"/>
          </w:tcPr>
          <w:p w14:paraId="3F8FE698">
            <w:pPr>
              <w:pStyle w:val="21"/>
              <w:spacing w:line="240" w:lineRule="auto"/>
              <w:rPr>
                <w:rFonts w:cs="Times New Roman"/>
                <w:lang w:val="en-US"/>
              </w:rPr>
            </w:pPr>
            <w:r>
              <w:rPr>
                <w:rFonts w:cs="Times New Roman"/>
                <w:lang w:val="en-US"/>
              </w:rPr>
              <w:t>2</w:t>
            </w:r>
          </w:p>
        </w:tc>
        <w:tc>
          <w:tcPr>
            <w:tcW w:w="319" w:type="pct"/>
            <w:tcMar>
              <w:top w:w="15" w:type="dxa"/>
              <w:left w:w="15" w:type="dxa"/>
              <w:right w:w="15" w:type="dxa"/>
            </w:tcMar>
            <w:vAlign w:val="center"/>
          </w:tcPr>
          <w:p w14:paraId="6662EA14">
            <w:pPr>
              <w:pStyle w:val="21"/>
              <w:spacing w:line="240" w:lineRule="auto"/>
              <w:rPr>
                <w:rFonts w:cs="Times New Roman"/>
                <w:lang w:val="en-US"/>
              </w:rPr>
            </w:pPr>
          </w:p>
        </w:tc>
      </w:tr>
      <w:tr w14:paraId="6DED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295" w:type="pct"/>
            <w:vMerge w:val="continue"/>
            <w:tcMar>
              <w:top w:w="15" w:type="dxa"/>
              <w:left w:w="15" w:type="dxa"/>
              <w:right w:w="15" w:type="dxa"/>
            </w:tcMar>
            <w:vAlign w:val="center"/>
          </w:tcPr>
          <w:p w14:paraId="7EA8BDBB">
            <w:pPr>
              <w:pStyle w:val="21"/>
              <w:spacing w:line="240" w:lineRule="auto"/>
              <w:jc w:val="left"/>
              <w:rPr>
                <w:rFonts w:cs="Times New Roman"/>
              </w:rPr>
            </w:pPr>
          </w:p>
        </w:tc>
        <w:tc>
          <w:tcPr>
            <w:tcW w:w="379" w:type="pct"/>
            <w:vMerge w:val="continue"/>
            <w:tcMar>
              <w:top w:w="15" w:type="dxa"/>
              <w:left w:w="15" w:type="dxa"/>
              <w:right w:w="15" w:type="dxa"/>
            </w:tcMar>
            <w:vAlign w:val="center"/>
          </w:tcPr>
          <w:p w14:paraId="7D2C9B5A">
            <w:pPr>
              <w:pStyle w:val="21"/>
              <w:spacing w:line="240" w:lineRule="auto"/>
              <w:jc w:val="left"/>
              <w:rPr>
                <w:rFonts w:cs="Times New Roman"/>
                <w:lang w:val="en-US"/>
              </w:rPr>
            </w:pPr>
          </w:p>
        </w:tc>
        <w:tc>
          <w:tcPr>
            <w:tcW w:w="502" w:type="pct"/>
            <w:tcMar>
              <w:top w:w="15" w:type="dxa"/>
              <w:left w:w="15" w:type="dxa"/>
              <w:right w:w="15" w:type="dxa"/>
            </w:tcMar>
            <w:vAlign w:val="center"/>
          </w:tcPr>
          <w:p w14:paraId="17C140DD">
            <w:pPr>
              <w:pStyle w:val="21"/>
              <w:spacing w:line="240" w:lineRule="auto"/>
              <w:jc w:val="left"/>
              <w:rPr>
                <w:rFonts w:hint="default" w:eastAsia="仿宋_GB2312" w:cs="Times New Roman"/>
                <w:lang w:val="en-US" w:eastAsia="zh-CN"/>
              </w:rPr>
            </w:pPr>
            <w:r>
              <w:rPr>
                <w:rFonts w:hint="eastAsia" w:cs="Times New Roman"/>
                <w:lang w:val="en-US" w:eastAsia="zh-CN"/>
              </w:rPr>
              <w:t>C22教学活动数</w:t>
            </w:r>
          </w:p>
        </w:tc>
        <w:tc>
          <w:tcPr>
            <w:tcW w:w="355" w:type="pct"/>
            <w:noWrap/>
            <w:tcMar>
              <w:top w:w="15" w:type="dxa"/>
              <w:left w:w="15" w:type="dxa"/>
              <w:right w:w="15" w:type="dxa"/>
            </w:tcMar>
            <w:vAlign w:val="center"/>
          </w:tcPr>
          <w:p w14:paraId="2B1F086B">
            <w:pPr>
              <w:pStyle w:val="21"/>
              <w:spacing w:line="240" w:lineRule="auto"/>
              <w:jc w:val="center"/>
              <w:rPr>
                <w:rFonts w:hint="eastAsia" w:eastAsia="仿宋_GB2312" w:cs="Times New Roman"/>
                <w:lang w:val="en-US" w:eastAsia="zh-CN"/>
              </w:rPr>
            </w:pPr>
            <w:r>
              <w:rPr>
                <w:rFonts w:cs="Times New Roman"/>
                <w:lang w:val="en-US"/>
              </w:rPr>
              <w:t>&gt;=</w:t>
            </w:r>
            <w:r>
              <w:rPr>
                <w:rFonts w:hint="eastAsia" w:cs="Times New Roman"/>
                <w:lang w:val="en-US" w:eastAsia="zh-CN"/>
              </w:rPr>
              <w:t>4</w:t>
            </w:r>
          </w:p>
        </w:tc>
        <w:tc>
          <w:tcPr>
            <w:tcW w:w="229" w:type="pct"/>
            <w:tcMar>
              <w:top w:w="15" w:type="dxa"/>
              <w:left w:w="15" w:type="dxa"/>
              <w:right w:w="15" w:type="dxa"/>
            </w:tcMar>
            <w:vAlign w:val="center"/>
          </w:tcPr>
          <w:p w14:paraId="5DBEB922">
            <w:pPr>
              <w:pStyle w:val="21"/>
              <w:spacing w:line="240" w:lineRule="auto"/>
              <w:jc w:val="center"/>
              <w:rPr>
                <w:rFonts w:hint="default" w:eastAsia="仿宋_GB2312" w:cs="Times New Roman"/>
                <w:lang w:val="en-US" w:eastAsia="zh-CN"/>
              </w:rPr>
            </w:pPr>
            <w:r>
              <w:rPr>
                <w:rFonts w:hint="eastAsia" w:cs="Times New Roman"/>
                <w:lang w:val="en-US" w:eastAsia="zh-CN"/>
              </w:rPr>
              <w:t>4</w:t>
            </w:r>
          </w:p>
        </w:tc>
        <w:tc>
          <w:tcPr>
            <w:tcW w:w="1020" w:type="pct"/>
            <w:tcMar>
              <w:top w:w="15" w:type="dxa"/>
              <w:left w:w="15" w:type="dxa"/>
              <w:right w:w="15" w:type="dxa"/>
            </w:tcMar>
            <w:vAlign w:val="center"/>
          </w:tcPr>
          <w:p w14:paraId="3D186B4F">
            <w:pPr>
              <w:pStyle w:val="21"/>
              <w:spacing w:line="240" w:lineRule="auto"/>
              <w:jc w:val="left"/>
              <w:rPr>
                <w:rFonts w:hint="default" w:eastAsia="仿宋_GB2312" w:cs="Times New Roman"/>
                <w:lang w:val="en-US" w:eastAsia="zh-CN"/>
              </w:rPr>
            </w:pPr>
            <w:r>
              <w:rPr>
                <w:rFonts w:hint="eastAsia" w:cs="Times New Roman"/>
                <w:lang w:val="en-US" w:eastAsia="zh-CN"/>
              </w:rPr>
              <w:t>考察幼儿园教育教学活动情况。</w:t>
            </w:r>
          </w:p>
        </w:tc>
        <w:tc>
          <w:tcPr>
            <w:tcW w:w="1236" w:type="pct"/>
            <w:tcMar>
              <w:top w:w="15" w:type="dxa"/>
              <w:left w:w="15" w:type="dxa"/>
              <w:right w:w="15" w:type="dxa"/>
            </w:tcMar>
            <w:vAlign w:val="center"/>
          </w:tcPr>
          <w:p w14:paraId="5112605F">
            <w:pPr>
              <w:pStyle w:val="21"/>
              <w:spacing w:line="240" w:lineRule="auto"/>
              <w:jc w:val="left"/>
              <w:rPr>
                <w:rFonts w:cs="Times New Roman"/>
              </w:rPr>
            </w:pPr>
            <w:r>
              <w:rPr>
                <w:rFonts w:cs="Times New Roman"/>
              </w:rPr>
              <w:t>达到目标值得满分</w:t>
            </w:r>
            <w:r>
              <w:rPr>
                <w:rFonts w:hint="eastAsia" w:cs="Times New Roman"/>
                <w:lang w:eastAsia="zh-CN"/>
              </w:rPr>
              <w:t>，</w:t>
            </w:r>
            <w:r>
              <w:rPr>
                <w:rFonts w:cs="Times New Roman"/>
              </w:rPr>
              <w:t>每低于目标值</w:t>
            </w:r>
            <w:r>
              <w:rPr>
                <w:rFonts w:cs="Times New Roman"/>
                <w:lang w:val="en-US"/>
              </w:rPr>
              <w:t>1次，扣1分，扣完为止。</w:t>
            </w:r>
          </w:p>
        </w:tc>
        <w:tc>
          <w:tcPr>
            <w:tcW w:w="340" w:type="pct"/>
            <w:tcMar>
              <w:top w:w="15" w:type="dxa"/>
              <w:left w:w="15" w:type="dxa"/>
              <w:right w:w="15" w:type="dxa"/>
            </w:tcMar>
            <w:vAlign w:val="center"/>
          </w:tcPr>
          <w:p w14:paraId="6DABE0CD">
            <w:pPr>
              <w:pStyle w:val="21"/>
              <w:spacing w:line="240" w:lineRule="auto"/>
              <w:rPr>
                <w:rFonts w:hint="default" w:cs="Times New Roman"/>
                <w:lang w:val="en-US" w:eastAsia="zh-CN"/>
              </w:rPr>
            </w:pPr>
            <w:r>
              <w:rPr>
                <w:rFonts w:hint="eastAsia" w:cs="Times New Roman"/>
                <w:lang w:val="en-US" w:eastAsia="zh-CN"/>
              </w:rPr>
              <w:t>4</w:t>
            </w:r>
          </w:p>
        </w:tc>
        <w:tc>
          <w:tcPr>
            <w:tcW w:w="319" w:type="pct"/>
            <w:tcMar>
              <w:top w:w="15" w:type="dxa"/>
              <w:left w:w="15" w:type="dxa"/>
              <w:right w:w="15" w:type="dxa"/>
            </w:tcMar>
            <w:vAlign w:val="center"/>
          </w:tcPr>
          <w:p w14:paraId="51AB9308">
            <w:pPr>
              <w:pStyle w:val="21"/>
              <w:spacing w:line="240" w:lineRule="auto"/>
              <w:rPr>
                <w:rFonts w:hint="eastAsia" w:eastAsia="仿宋_GB2312" w:cs="Times New Roman"/>
                <w:lang w:val="en-US" w:eastAsia="zh-CN"/>
              </w:rPr>
            </w:pPr>
            <w:r>
              <w:rPr>
                <w:rFonts w:hint="eastAsia" w:cs="Times New Roman"/>
                <w:lang w:val="en-US" w:eastAsia="zh-CN"/>
              </w:rPr>
              <w:t>4</w:t>
            </w:r>
          </w:p>
        </w:tc>
        <w:tc>
          <w:tcPr>
            <w:tcW w:w="319" w:type="pct"/>
            <w:tcMar>
              <w:top w:w="15" w:type="dxa"/>
              <w:left w:w="15" w:type="dxa"/>
              <w:right w:w="15" w:type="dxa"/>
            </w:tcMar>
            <w:vAlign w:val="center"/>
          </w:tcPr>
          <w:p w14:paraId="64D32569">
            <w:pPr>
              <w:pStyle w:val="21"/>
              <w:spacing w:line="240" w:lineRule="auto"/>
              <w:rPr>
                <w:rFonts w:hint="eastAsia" w:cs="Times New Roman"/>
                <w:lang w:val="en-US" w:eastAsia="zh-CN"/>
              </w:rPr>
            </w:pPr>
          </w:p>
        </w:tc>
      </w:tr>
      <w:tr w14:paraId="48FB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5" w:type="pct"/>
            <w:vMerge w:val="continue"/>
            <w:tcMar>
              <w:top w:w="15" w:type="dxa"/>
              <w:left w:w="15" w:type="dxa"/>
              <w:right w:w="15" w:type="dxa"/>
            </w:tcMar>
            <w:vAlign w:val="center"/>
          </w:tcPr>
          <w:p w14:paraId="351B63F4">
            <w:pPr>
              <w:pStyle w:val="21"/>
              <w:spacing w:line="240" w:lineRule="auto"/>
              <w:jc w:val="left"/>
              <w:rPr>
                <w:rFonts w:cs="Times New Roman"/>
              </w:rPr>
            </w:pPr>
          </w:p>
        </w:tc>
        <w:tc>
          <w:tcPr>
            <w:tcW w:w="379" w:type="pct"/>
            <w:vMerge w:val="continue"/>
            <w:tcMar>
              <w:top w:w="15" w:type="dxa"/>
              <w:left w:w="15" w:type="dxa"/>
              <w:right w:w="15" w:type="dxa"/>
            </w:tcMar>
            <w:vAlign w:val="center"/>
          </w:tcPr>
          <w:p w14:paraId="2EC8735E">
            <w:pPr>
              <w:pStyle w:val="21"/>
              <w:spacing w:line="240" w:lineRule="auto"/>
              <w:jc w:val="left"/>
              <w:rPr>
                <w:rFonts w:cs="Times New Roman"/>
                <w:lang w:val="en-US"/>
              </w:rPr>
            </w:pPr>
          </w:p>
        </w:tc>
        <w:tc>
          <w:tcPr>
            <w:tcW w:w="502" w:type="pct"/>
            <w:tcMar>
              <w:top w:w="15" w:type="dxa"/>
              <w:left w:w="15" w:type="dxa"/>
              <w:right w:w="15" w:type="dxa"/>
            </w:tcMar>
            <w:vAlign w:val="center"/>
          </w:tcPr>
          <w:p w14:paraId="24051B5C">
            <w:pPr>
              <w:pStyle w:val="21"/>
              <w:spacing w:line="240" w:lineRule="auto"/>
              <w:jc w:val="left"/>
              <w:rPr>
                <w:rFonts w:hint="default" w:eastAsia="仿宋_GB2312" w:cs="Times New Roman"/>
                <w:lang w:val="en-US" w:eastAsia="zh-CN"/>
              </w:rPr>
            </w:pPr>
            <w:r>
              <w:rPr>
                <w:rFonts w:hint="eastAsia" w:cs="Times New Roman"/>
                <w:lang w:val="en-US" w:eastAsia="zh-CN"/>
              </w:rPr>
              <w:t>C23艺术展次数</w:t>
            </w:r>
          </w:p>
        </w:tc>
        <w:tc>
          <w:tcPr>
            <w:tcW w:w="355" w:type="pct"/>
            <w:noWrap/>
            <w:tcMar>
              <w:top w:w="15" w:type="dxa"/>
              <w:left w:w="15" w:type="dxa"/>
              <w:right w:w="15" w:type="dxa"/>
            </w:tcMar>
            <w:vAlign w:val="center"/>
          </w:tcPr>
          <w:p w14:paraId="4C2325C6">
            <w:pPr>
              <w:pStyle w:val="21"/>
              <w:spacing w:line="240" w:lineRule="auto"/>
              <w:rPr>
                <w:rFonts w:hint="eastAsia" w:eastAsia="仿宋_GB2312" w:cs="Times New Roman"/>
                <w:lang w:val="en-US" w:eastAsia="zh-CN"/>
              </w:rPr>
            </w:pPr>
            <w:r>
              <w:rPr>
                <w:rFonts w:cs="Times New Roman"/>
                <w:lang w:val="en-US"/>
              </w:rPr>
              <w:t>&gt;=</w:t>
            </w:r>
            <w:r>
              <w:rPr>
                <w:rFonts w:hint="eastAsia" w:cs="Times New Roman"/>
                <w:lang w:val="en-US" w:eastAsia="zh-CN"/>
              </w:rPr>
              <w:t>2</w:t>
            </w:r>
          </w:p>
        </w:tc>
        <w:tc>
          <w:tcPr>
            <w:tcW w:w="229" w:type="pct"/>
            <w:tcMar>
              <w:top w:w="15" w:type="dxa"/>
              <w:left w:w="15" w:type="dxa"/>
              <w:right w:w="15" w:type="dxa"/>
            </w:tcMar>
            <w:vAlign w:val="center"/>
          </w:tcPr>
          <w:p w14:paraId="5C3813D4">
            <w:pPr>
              <w:pStyle w:val="21"/>
              <w:spacing w:line="240" w:lineRule="auto"/>
              <w:rPr>
                <w:rFonts w:hint="eastAsia" w:eastAsia="仿宋_GB2312" w:cs="Times New Roman"/>
                <w:lang w:val="en-US" w:eastAsia="zh-CN"/>
              </w:rPr>
            </w:pPr>
            <w:r>
              <w:rPr>
                <w:rFonts w:hint="eastAsia" w:cs="Times New Roman"/>
                <w:lang w:val="en-US" w:eastAsia="zh-CN"/>
              </w:rPr>
              <w:t>2</w:t>
            </w:r>
          </w:p>
        </w:tc>
        <w:tc>
          <w:tcPr>
            <w:tcW w:w="1020" w:type="pct"/>
            <w:tcMar>
              <w:top w:w="15" w:type="dxa"/>
              <w:left w:w="15" w:type="dxa"/>
              <w:right w:w="15" w:type="dxa"/>
            </w:tcMar>
            <w:vAlign w:val="center"/>
          </w:tcPr>
          <w:p w14:paraId="31646659">
            <w:pPr>
              <w:pStyle w:val="21"/>
              <w:spacing w:line="240" w:lineRule="auto"/>
              <w:jc w:val="left"/>
              <w:rPr>
                <w:rFonts w:cs="Times New Roman"/>
              </w:rPr>
            </w:pPr>
            <w:r>
              <w:rPr>
                <w:rFonts w:cs="Times New Roman"/>
              </w:rPr>
              <w:t>考察</w:t>
            </w:r>
            <w:r>
              <w:rPr>
                <w:rFonts w:hint="eastAsia" w:cs="Times New Roman"/>
                <w:lang w:val="en-US" w:eastAsia="zh-CN"/>
              </w:rPr>
              <w:t>幼儿艺术活动开展情况</w:t>
            </w:r>
            <w:r>
              <w:rPr>
                <w:rFonts w:cs="Times New Roman"/>
              </w:rPr>
              <w:t>。</w:t>
            </w:r>
          </w:p>
        </w:tc>
        <w:tc>
          <w:tcPr>
            <w:tcW w:w="1236" w:type="pct"/>
            <w:tcMar>
              <w:top w:w="15" w:type="dxa"/>
              <w:left w:w="15" w:type="dxa"/>
              <w:right w:w="15" w:type="dxa"/>
            </w:tcMar>
            <w:vAlign w:val="center"/>
          </w:tcPr>
          <w:p w14:paraId="1A94CF61">
            <w:pPr>
              <w:pStyle w:val="21"/>
              <w:spacing w:line="240" w:lineRule="auto"/>
              <w:jc w:val="left"/>
              <w:rPr>
                <w:rFonts w:cs="Times New Roman"/>
              </w:rPr>
            </w:pPr>
            <w:r>
              <w:rPr>
                <w:rFonts w:cs="Times New Roman"/>
              </w:rPr>
              <w:t>达到目标值得满分</w:t>
            </w:r>
            <w:r>
              <w:rPr>
                <w:rFonts w:hint="eastAsia" w:cs="Times New Roman"/>
                <w:lang w:eastAsia="zh-CN"/>
              </w:rPr>
              <w:t>，</w:t>
            </w:r>
            <w:r>
              <w:rPr>
                <w:rFonts w:cs="Times New Roman"/>
              </w:rPr>
              <w:t>每低于目标值</w:t>
            </w:r>
            <w:r>
              <w:rPr>
                <w:rFonts w:cs="Times New Roman"/>
                <w:lang w:val="en-US"/>
              </w:rPr>
              <w:t>1次，扣1分，扣完为止。</w:t>
            </w:r>
          </w:p>
        </w:tc>
        <w:tc>
          <w:tcPr>
            <w:tcW w:w="340" w:type="pct"/>
            <w:tcMar>
              <w:top w:w="15" w:type="dxa"/>
              <w:left w:w="15" w:type="dxa"/>
              <w:right w:w="15" w:type="dxa"/>
            </w:tcMar>
            <w:vAlign w:val="center"/>
          </w:tcPr>
          <w:p w14:paraId="75FE505E">
            <w:pPr>
              <w:pStyle w:val="21"/>
              <w:spacing w:line="240" w:lineRule="auto"/>
              <w:rPr>
                <w:rFonts w:hint="default" w:cs="Times New Roman"/>
                <w:lang w:val="en-US" w:eastAsia="zh-CN"/>
              </w:rPr>
            </w:pPr>
            <w:r>
              <w:rPr>
                <w:rFonts w:hint="eastAsia" w:cs="Times New Roman"/>
                <w:lang w:val="en-US" w:eastAsia="zh-CN"/>
              </w:rPr>
              <w:t>3</w:t>
            </w:r>
          </w:p>
        </w:tc>
        <w:tc>
          <w:tcPr>
            <w:tcW w:w="319" w:type="pct"/>
            <w:tcMar>
              <w:top w:w="15" w:type="dxa"/>
              <w:left w:w="15" w:type="dxa"/>
              <w:right w:w="15" w:type="dxa"/>
            </w:tcMar>
            <w:vAlign w:val="center"/>
          </w:tcPr>
          <w:p w14:paraId="1D599527">
            <w:pPr>
              <w:pStyle w:val="21"/>
              <w:spacing w:line="240" w:lineRule="auto"/>
              <w:rPr>
                <w:rFonts w:hint="default" w:eastAsia="仿宋_GB2312" w:cs="Times New Roman"/>
                <w:lang w:val="en-US" w:eastAsia="zh-CN"/>
              </w:rPr>
            </w:pPr>
            <w:r>
              <w:rPr>
                <w:rFonts w:hint="eastAsia" w:cs="Times New Roman"/>
                <w:lang w:val="en-US" w:eastAsia="zh-CN"/>
              </w:rPr>
              <w:t>2</w:t>
            </w:r>
          </w:p>
        </w:tc>
        <w:tc>
          <w:tcPr>
            <w:tcW w:w="319" w:type="pct"/>
            <w:tcMar>
              <w:top w:w="15" w:type="dxa"/>
              <w:left w:w="15" w:type="dxa"/>
              <w:right w:w="15" w:type="dxa"/>
            </w:tcMar>
            <w:vAlign w:val="center"/>
          </w:tcPr>
          <w:p w14:paraId="0D413C6E">
            <w:pPr>
              <w:pStyle w:val="21"/>
              <w:spacing w:line="240" w:lineRule="auto"/>
              <w:rPr>
                <w:rFonts w:hint="eastAsia" w:cs="Times New Roman"/>
                <w:lang w:val="en-US" w:eastAsia="zh-CN"/>
              </w:rPr>
            </w:pPr>
          </w:p>
        </w:tc>
      </w:tr>
      <w:tr w14:paraId="2648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rPr>
        <w:tc>
          <w:tcPr>
            <w:tcW w:w="295" w:type="pct"/>
            <w:vMerge w:val="continue"/>
            <w:tcMar>
              <w:top w:w="15" w:type="dxa"/>
              <w:left w:w="15" w:type="dxa"/>
              <w:right w:w="15" w:type="dxa"/>
            </w:tcMar>
            <w:vAlign w:val="center"/>
          </w:tcPr>
          <w:p w14:paraId="11709859">
            <w:pPr>
              <w:pStyle w:val="21"/>
              <w:spacing w:line="240" w:lineRule="auto"/>
              <w:jc w:val="left"/>
              <w:rPr>
                <w:rFonts w:cs="Times New Roman"/>
                <w:lang w:val="en-US"/>
              </w:rPr>
            </w:pPr>
          </w:p>
        </w:tc>
        <w:tc>
          <w:tcPr>
            <w:tcW w:w="379" w:type="pct"/>
            <w:vMerge w:val="restart"/>
            <w:tcMar>
              <w:top w:w="15" w:type="dxa"/>
              <w:left w:w="15" w:type="dxa"/>
              <w:right w:w="15" w:type="dxa"/>
            </w:tcMar>
            <w:vAlign w:val="center"/>
          </w:tcPr>
          <w:p w14:paraId="51AF7F10">
            <w:pPr>
              <w:pStyle w:val="21"/>
              <w:spacing w:line="240" w:lineRule="auto"/>
              <w:jc w:val="left"/>
              <w:rPr>
                <w:rFonts w:cs="Times New Roman"/>
                <w:lang w:val="en-US"/>
              </w:rPr>
            </w:pPr>
            <w:r>
              <w:rPr>
                <w:rFonts w:cs="Times New Roman"/>
                <w:lang w:val="en-US"/>
              </w:rPr>
              <w:t>C3教科研建设</w:t>
            </w:r>
          </w:p>
        </w:tc>
        <w:tc>
          <w:tcPr>
            <w:tcW w:w="502" w:type="pct"/>
            <w:tcMar>
              <w:top w:w="15" w:type="dxa"/>
              <w:left w:w="15" w:type="dxa"/>
              <w:right w:w="15" w:type="dxa"/>
            </w:tcMar>
            <w:vAlign w:val="center"/>
          </w:tcPr>
          <w:p w14:paraId="56A9A6D7">
            <w:pPr>
              <w:pStyle w:val="21"/>
              <w:spacing w:line="240" w:lineRule="auto"/>
              <w:jc w:val="left"/>
              <w:rPr>
                <w:rFonts w:hint="default" w:eastAsia="仿宋_GB2312" w:cs="Times New Roman"/>
                <w:lang w:val="en-US" w:eastAsia="zh-CN"/>
              </w:rPr>
            </w:pPr>
            <w:r>
              <w:rPr>
                <w:rFonts w:cs="Times New Roman"/>
                <w:lang w:val="en-US"/>
              </w:rPr>
              <w:t>C</w:t>
            </w:r>
            <w:r>
              <w:rPr>
                <w:rFonts w:cs="Times New Roman"/>
                <w:color w:val="auto"/>
                <w:lang w:val="en-US"/>
              </w:rPr>
              <w:t>31</w:t>
            </w:r>
            <w:r>
              <w:rPr>
                <w:rFonts w:hint="eastAsia" w:cs="Times New Roman"/>
                <w:color w:val="auto"/>
                <w:lang w:val="en-US" w:eastAsia="zh-CN"/>
              </w:rPr>
              <w:t>省级课题</w:t>
            </w:r>
          </w:p>
        </w:tc>
        <w:tc>
          <w:tcPr>
            <w:tcW w:w="355" w:type="pct"/>
            <w:noWrap/>
            <w:tcMar>
              <w:top w:w="15" w:type="dxa"/>
              <w:left w:w="15" w:type="dxa"/>
              <w:right w:w="15" w:type="dxa"/>
            </w:tcMar>
            <w:vAlign w:val="center"/>
          </w:tcPr>
          <w:p w14:paraId="1F8BF88D">
            <w:pPr>
              <w:pStyle w:val="21"/>
              <w:spacing w:line="240" w:lineRule="auto"/>
              <w:rPr>
                <w:rFonts w:hint="default" w:eastAsia="仿宋_GB2312" w:cs="Times New Roman"/>
                <w:lang w:val="en-US" w:eastAsia="zh-CN"/>
              </w:rPr>
            </w:pPr>
            <w:r>
              <w:rPr>
                <w:rFonts w:hint="eastAsia" w:cs="Times New Roman"/>
                <w:lang w:val="en-US" w:eastAsia="zh-CN"/>
              </w:rPr>
              <w:t>开题</w:t>
            </w:r>
          </w:p>
        </w:tc>
        <w:tc>
          <w:tcPr>
            <w:tcW w:w="229" w:type="pct"/>
            <w:noWrap/>
            <w:tcMar>
              <w:top w:w="15" w:type="dxa"/>
              <w:left w:w="15" w:type="dxa"/>
              <w:right w:w="15" w:type="dxa"/>
            </w:tcMar>
            <w:vAlign w:val="center"/>
          </w:tcPr>
          <w:p w14:paraId="4CB693AF">
            <w:pPr>
              <w:pStyle w:val="21"/>
              <w:spacing w:line="240" w:lineRule="auto"/>
              <w:rPr>
                <w:rFonts w:cs="Times New Roman"/>
                <w:lang w:val="en-US"/>
              </w:rPr>
            </w:pPr>
            <w:r>
              <w:rPr>
                <w:rFonts w:cs="Times New Roman"/>
                <w:lang w:val="en-US"/>
              </w:rPr>
              <w:t>3</w:t>
            </w:r>
          </w:p>
        </w:tc>
        <w:tc>
          <w:tcPr>
            <w:tcW w:w="1020" w:type="pct"/>
            <w:tcMar>
              <w:top w:w="15" w:type="dxa"/>
              <w:left w:w="15" w:type="dxa"/>
              <w:right w:w="15" w:type="dxa"/>
            </w:tcMar>
            <w:vAlign w:val="center"/>
          </w:tcPr>
          <w:p w14:paraId="2093E7A6">
            <w:pPr>
              <w:pStyle w:val="21"/>
              <w:spacing w:line="240" w:lineRule="auto"/>
              <w:jc w:val="left"/>
              <w:rPr>
                <w:rFonts w:hint="default" w:cs="Times New Roman"/>
                <w:lang w:val="en-US"/>
              </w:rPr>
            </w:pPr>
            <w:r>
              <w:rPr>
                <w:rFonts w:cs="Times New Roman"/>
              </w:rPr>
              <w:t>考察</w:t>
            </w:r>
            <w:r>
              <w:rPr>
                <w:rFonts w:hint="eastAsia" w:cs="Times New Roman"/>
                <w:lang w:val="en-US" w:eastAsia="zh-CN"/>
              </w:rPr>
              <w:t>课题研究能力和水平。</w:t>
            </w:r>
          </w:p>
        </w:tc>
        <w:tc>
          <w:tcPr>
            <w:tcW w:w="1236" w:type="pct"/>
            <w:tcMar>
              <w:top w:w="15" w:type="dxa"/>
              <w:left w:w="15" w:type="dxa"/>
              <w:right w:w="15" w:type="dxa"/>
            </w:tcMar>
            <w:vAlign w:val="center"/>
          </w:tcPr>
          <w:p w14:paraId="633A0F93">
            <w:pPr>
              <w:pStyle w:val="21"/>
              <w:spacing w:line="240" w:lineRule="auto"/>
              <w:jc w:val="left"/>
              <w:rPr>
                <w:rFonts w:cs="Times New Roman"/>
              </w:rPr>
            </w:pPr>
            <w:r>
              <w:rPr>
                <w:rFonts w:cs="Times New Roman"/>
              </w:rPr>
              <w:t>达到目标值得满分，</w:t>
            </w:r>
            <w:r>
              <w:rPr>
                <w:rFonts w:cs="Times New Roman"/>
                <w:lang w:val="en-US"/>
              </w:rPr>
              <w:t>否则不得分。</w:t>
            </w:r>
          </w:p>
        </w:tc>
        <w:tc>
          <w:tcPr>
            <w:tcW w:w="340" w:type="pct"/>
            <w:tcMar>
              <w:top w:w="15" w:type="dxa"/>
              <w:left w:w="15" w:type="dxa"/>
              <w:right w:w="15" w:type="dxa"/>
            </w:tcMar>
            <w:vAlign w:val="center"/>
          </w:tcPr>
          <w:p w14:paraId="205FDAA4">
            <w:pPr>
              <w:pStyle w:val="21"/>
              <w:spacing w:line="240" w:lineRule="auto"/>
              <w:rPr>
                <w:rFonts w:cs="Times New Roman"/>
                <w:lang w:val="en-US"/>
              </w:rPr>
            </w:pPr>
            <w:r>
              <w:rPr>
                <w:rFonts w:hint="eastAsia" w:cs="Times New Roman"/>
                <w:lang w:val="en-US" w:eastAsia="zh-CN"/>
              </w:rPr>
              <w:t>开题</w:t>
            </w:r>
          </w:p>
        </w:tc>
        <w:tc>
          <w:tcPr>
            <w:tcW w:w="319" w:type="pct"/>
            <w:tcMar>
              <w:top w:w="15" w:type="dxa"/>
              <w:left w:w="15" w:type="dxa"/>
              <w:right w:w="15" w:type="dxa"/>
            </w:tcMar>
            <w:vAlign w:val="center"/>
          </w:tcPr>
          <w:p w14:paraId="1ED9D53E">
            <w:pPr>
              <w:pStyle w:val="21"/>
              <w:spacing w:line="240" w:lineRule="auto"/>
              <w:rPr>
                <w:rFonts w:cs="Times New Roman"/>
                <w:lang w:val="en-US"/>
              </w:rPr>
            </w:pPr>
            <w:r>
              <w:rPr>
                <w:rFonts w:cs="Times New Roman"/>
                <w:lang w:val="en-US"/>
              </w:rPr>
              <w:t>3</w:t>
            </w:r>
          </w:p>
        </w:tc>
        <w:tc>
          <w:tcPr>
            <w:tcW w:w="319" w:type="pct"/>
            <w:tcMar>
              <w:top w:w="15" w:type="dxa"/>
              <w:left w:w="15" w:type="dxa"/>
              <w:right w:w="15" w:type="dxa"/>
            </w:tcMar>
            <w:vAlign w:val="center"/>
          </w:tcPr>
          <w:p w14:paraId="798C05DD">
            <w:pPr>
              <w:pStyle w:val="21"/>
              <w:spacing w:line="240" w:lineRule="auto"/>
              <w:rPr>
                <w:rFonts w:cs="Times New Roman"/>
                <w:lang w:val="en-US"/>
              </w:rPr>
            </w:pPr>
          </w:p>
        </w:tc>
      </w:tr>
      <w:tr w14:paraId="638F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5" w:type="pct"/>
            <w:vMerge w:val="continue"/>
            <w:tcMar>
              <w:top w:w="15" w:type="dxa"/>
              <w:left w:w="15" w:type="dxa"/>
              <w:right w:w="15" w:type="dxa"/>
            </w:tcMar>
            <w:vAlign w:val="center"/>
          </w:tcPr>
          <w:p w14:paraId="78E35EDF">
            <w:pPr>
              <w:pStyle w:val="21"/>
              <w:spacing w:line="240" w:lineRule="auto"/>
              <w:jc w:val="left"/>
              <w:rPr>
                <w:rFonts w:cs="Times New Roman"/>
                <w:lang w:val="en-US"/>
              </w:rPr>
            </w:pPr>
          </w:p>
        </w:tc>
        <w:tc>
          <w:tcPr>
            <w:tcW w:w="379" w:type="pct"/>
            <w:vMerge w:val="continue"/>
            <w:tcMar>
              <w:top w:w="15" w:type="dxa"/>
              <w:left w:w="15" w:type="dxa"/>
              <w:right w:w="15" w:type="dxa"/>
            </w:tcMar>
            <w:vAlign w:val="center"/>
          </w:tcPr>
          <w:p w14:paraId="14133FE2">
            <w:pPr>
              <w:pStyle w:val="21"/>
              <w:spacing w:line="240" w:lineRule="auto"/>
              <w:jc w:val="left"/>
              <w:rPr>
                <w:rFonts w:cs="Times New Roman"/>
                <w:lang w:val="en-US"/>
              </w:rPr>
            </w:pPr>
          </w:p>
        </w:tc>
        <w:tc>
          <w:tcPr>
            <w:tcW w:w="502" w:type="pct"/>
            <w:tcMar>
              <w:top w:w="15" w:type="dxa"/>
              <w:left w:w="15" w:type="dxa"/>
              <w:right w:w="15" w:type="dxa"/>
            </w:tcMar>
            <w:vAlign w:val="center"/>
          </w:tcPr>
          <w:p w14:paraId="2EBAB453">
            <w:pPr>
              <w:pStyle w:val="21"/>
              <w:spacing w:line="240" w:lineRule="auto"/>
              <w:jc w:val="left"/>
              <w:rPr>
                <w:rFonts w:hint="default" w:eastAsia="仿宋_GB2312" w:cs="Times New Roman"/>
                <w:lang w:val="en-US" w:eastAsia="zh-CN"/>
              </w:rPr>
            </w:pPr>
            <w:r>
              <w:rPr>
                <w:rFonts w:cs="Times New Roman"/>
                <w:lang w:val="en-US"/>
              </w:rPr>
              <w:t>C32</w:t>
            </w:r>
            <w:r>
              <w:rPr>
                <w:rFonts w:cs="Times New Roman"/>
              </w:rPr>
              <w:t>教师论文</w:t>
            </w:r>
            <w:r>
              <w:rPr>
                <w:rFonts w:hint="eastAsia" w:cs="Times New Roman"/>
                <w:lang w:eastAsia="zh-CN"/>
              </w:rPr>
              <w:t>、</w:t>
            </w:r>
            <w:r>
              <w:rPr>
                <w:rFonts w:hint="eastAsia" w:cs="Times New Roman"/>
                <w:lang w:val="en-US" w:eastAsia="zh-CN"/>
              </w:rPr>
              <w:t>案例发表</w:t>
            </w:r>
            <w:r>
              <w:rPr>
                <w:rFonts w:cs="Times New Roman"/>
              </w:rPr>
              <w:t>获奖数量</w:t>
            </w:r>
          </w:p>
        </w:tc>
        <w:tc>
          <w:tcPr>
            <w:tcW w:w="355" w:type="pct"/>
            <w:noWrap/>
            <w:tcMar>
              <w:top w:w="15" w:type="dxa"/>
              <w:left w:w="15" w:type="dxa"/>
              <w:right w:w="15" w:type="dxa"/>
            </w:tcMar>
            <w:vAlign w:val="center"/>
          </w:tcPr>
          <w:p w14:paraId="0E42648E">
            <w:pPr>
              <w:pStyle w:val="21"/>
              <w:spacing w:line="240" w:lineRule="auto"/>
              <w:rPr>
                <w:rFonts w:hint="default" w:eastAsia="仿宋_GB2312" w:cs="Times New Roman"/>
                <w:lang w:val="en-US" w:eastAsia="zh-CN"/>
              </w:rPr>
            </w:pPr>
            <w:r>
              <w:rPr>
                <w:rFonts w:cs="Times New Roman"/>
                <w:lang w:val="en-US"/>
              </w:rPr>
              <w:t>&gt;=</w:t>
            </w:r>
            <w:r>
              <w:rPr>
                <w:rFonts w:hint="eastAsia" w:cs="Times New Roman"/>
                <w:lang w:val="en-US" w:eastAsia="zh-CN"/>
              </w:rPr>
              <w:t>40</w:t>
            </w:r>
          </w:p>
        </w:tc>
        <w:tc>
          <w:tcPr>
            <w:tcW w:w="229" w:type="pct"/>
            <w:noWrap/>
            <w:tcMar>
              <w:top w:w="15" w:type="dxa"/>
              <w:left w:w="15" w:type="dxa"/>
              <w:right w:w="15" w:type="dxa"/>
            </w:tcMar>
            <w:vAlign w:val="center"/>
          </w:tcPr>
          <w:p w14:paraId="1EB4F86E">
            <w:pPr>
              <w:pStyle w:val="21"/>
              <w:spacing w:line="240" w:lineRule="auto"/>
              <w:rPr>
                <w:rFonts w:cs="Times New Roman"/>
                <w:lang w:val="en-US"/>
              </w:rPr>
            </w:pPr>
            <w:r>
              <w:rPr>
                <w:rFonts w:cs="Times New Roman"/>
                <w:lang w:val="en-US"/>
              </w:rPr>
              <w:t>3</w:t>
            </w:r>
          </w:p>
        </w:tc>
        <w:tc>
          <w:tcPr>
            <w:tcW w:w="1020" w:type="pct"/>
            <w:tcMar>
              <w:top w:w="15" w:type="dxa"/>
              <w:left w:w="15" w:type="dxa"/>
              <w:right w:w="15" w:type="dxa"/>
            </w:tcMar>
            <w:vAlign w:val="center"/>
          </w:tcPr>
          <w:p w14:paraId="0AA64954">
            <w:pPr>
              <w:pStyle w:val="21"/>
              <w:spacing w:line="240" w:lineRule="auto"/>
              <w:jc w:val="left"/>
              <w:rPr>
                <w:rFonts w:cs="Times New Roman"/>
              </w:rPr>
            </w:pPr>
            <w:r>
              <w:rPr>
                <w:rFonts w:cs="Times New Roman"/>
              </w:rPr>
              <w:t>考察教师教研水平</w:t>
            </w:r>
          </w:p>
        </w:tc>
        <w:tc>
          <w:tcPr>
            <w:tcW w:w="1236" w:type="pct"/>
            <w:tcMar>
              <w:top w:w="15" w:type="dxa"/>
              <w:left w:w="15" w:type="dxa"/>
              <w:right w:w="15" w:type="dxa"/>
            </w:tcMar>
            <w:vAlign w:val="center"/>
          </w:tcPr>
          <w:p w14:paraId="5028344F">
            <w:pPr>
              <w:pStyle w:val="21"/>
              <w:spacing w:line="240" w:lineRule="auto"/>
              <w:jc w:val="left"/>
              <w:rPr>
                <w:rFonts w:cs="Times New Roman"/>
                <w:lang w:val="en-US"/>
              </w:rPr>
            </w:pPr>
            <w:r>
              <w:rPr>
                <w:rFonts w:cs="Times New Roman"/>
                <w:b w:val="0"/>
                <w:bCs/>
                <w:lang w:val="en-US"/>
              </w:rPr>
              <w:t>教师论文获奖数量完成目标值</w:t>
            </w:r>
            <w:r>
              <w:rPr>
                <w:rFonts w:cs="Times New Roman"/>
                <w:b w:val="0"/>
                <w:bCs/>
              </w:rPr>
              <w:t>得满分，每低于目标值</w:t>
            </w:r>
            <w:r>
              <w:rPr>
                <w:rFonts w:cs="Times New Roman"/>
                <w:b w:val="0"/>
                <w:bCs/>
                <w:lang w:val="en-US"/>
              </w:rPr>
              <w:t>1篇，扣0.5分，扣完为止。</w:t>
            </w:r>
          </w:p>
        </w:tc>
        <w:tc>
          <w:tcPr>
            <w:tcW w:w="340" w:type="pct"/>
            <w:tcMar>
              <w:top w:w="15" w:type="dxa"/>
              <w:left w:w="15" w:type="dxa"/>
              <w:right w:w="15" w:type="dxa"/>
            </w:tcMar>
            <w:vAlign w:val="center"/>
          </w:tcPr>
          <w:p w14:paraId="15B271C4">
            <w:pPr>
              <w:pStyle w:val="21"/>
              <w:spacing w:line="240" w:lineRule="auto"/>
              <w:rPr>
                <w:rFonts w:hint="default" w:eastAsia="仿宋_GB2312" w:cs="Times New Roman"/>
                <w:lang w:val="en-US" w:eastAsia="zh-CN"/>
              </w:rPr>
            </w:pPr>
            <w:r>
              <w:rPr>
                <w:rFonts w:hint="eastAsia" w:cs="Times New Roman"/>
                <w:lang w:val="en-US" w:eastAsia="zh-CN"/>
              </w:rPr>
              <w:t>101</w:t>
            </w:r>
          </w:p>
        </w:tc>
        <w:tc>
          <w:tcPr>
            <w:tcW w:w="319" w:type="pct"/>
            <w:tcMar>
              <w:top w:w="15" w:type="dxa"/>
              <w:left w:w="15" w:type="dxa"/>
              <w:right w:w="15" w:type="dxa"/>
            </w:tcMar>
            <w:vAlign w:val="center"/>
          </w:tcPr>
          <w:p w14:paraId="3A41FE93">
            <w:pPr>
              <w:pStyle w:val="21"/>
              <w:spacing w:line="240" w:lineRule="auto"/>
              <w:rPr>
                <w:rFonts w:cs="Times New Roman"/>
                <w:lang w:val="en-US"/>
              </w:rPr>
            </w:pPr>
            <w:r>
              <w:rPr>
                <w:rFonts w:cs="Times New Roman"/>
                <w:lang w:val="en-US"/>
              </w:rPr>
              <w:t>3</w:t>
            </w:r>
          </w:p>
        </w:tc>
        <w:tc>
          <w:tcPr>
            <w:tcW w:w="319" w:type="pct"/>
            <w:tcMar>
              <w:top w:w="15" w:type="dxa"/>
              <w:left w:w="15" w:type="dxa"/>
              <w:right w:w="15" w:type="dxa"/>
            </w:tcMar>
            <w:vAlign w:val="center"/>
          </w:tcPr>
          <w:p w14:paraId="4D21B1D1">
            <w:pPr>
              <w:pStyle w:val="21"/>
              <w:spacing w:line="240" w:lineRule="auto"/>
              <w:rPr>
                <w:rFonts w:cs="Times New Roman"/>
                <w:lang w:val="en-US"/>
              </w:rPr>
            </w:pPr>
          </w:p>
        </w:tc>
      </w:tr>
      <w:tr w14:paraId="30CC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295" w:type="pct"/>
            <w:vMerge w:val="continue"/>
            <w:tcMar>
              <w:top w:w="15" w:type="dxa"/>
              <w:left w:w="15" w:type="dxa"/>
              <w:right w:w="15" w:type="dxa"/>
            </w:tcMar>
            <w:vAlign w:val="center"/>
          </w:tcPr>
          <w:p w14:paraId="015FCD56">
            <w:pPr>
              <w:pStyle w:val="21"/>
              <w:spacing w:line="240" w:lineRule="auto"/>
              <w:jc w:val="left"/>
              <w:rPr>
                <w:rFonts w:cs="Times New Roman"/>
                <w:lang w:val="en-US"/>
              </w:rPr>
            </w:pPr>
          </w:p>
        </w:tc>
        <w:tc>
          <w:tcPr>
            <w:tcW w:w="379" w:type="pct"/>
            <w:vMerge w:val="continue"/>
            <w:tcMar>
              <w:top w:w="15" w:type="dxa"/>
              <w:left w:w="15" w:type="dxa"/>
              <w:right w:w="15" w:type="dxa"/>
            </w:tcMar>
            <w:vAlign w:val="center"/>
          </w:tcPr>
          <w:p w14:paraId="725F17B7">
            <w:pPr>
              <w:pStyle w:val="21"/>
              <w:spacing w:line="240" w:lineRule="auto"/>
              <w:jc w:val="left"/>
              <w:rPr>
                <w:rFonts w:cs="Times New Roman"/>
                <w:lang w:val="en-US"/>
              </w:rPr>
            </w:pPr>
          </w:p>
        </w:tc>
        <w:tc>
          <w:tcPr>
            <w:tcW w:w="502" w:type="pct"/>
            <w:tcMar>
              <w:top w:w="15" w:type="dxa"/>
              <w:left w:w="15" w:type="dxa"/>
              <w:right w:w="15" w:type="dxa"/>
            </w:tcMar>
            <w:vAlign w:val="center"/>
          </w:tcPr>
          <w:p w14:paraId="3292AFD2">
            <w:pPr>
              <w:pStyle w:val="21"/>
              <w:spacing w:line="240" w:lineRule="auto"/>
              <w:jc w:val="left"/>
              <w:rPr>
                <w:rFonts w:hint="default" w:eastAsia="仿宋_GB2312" w:cs="Times New Roman"/>
                <w:lang w:val="en-US" w:eastAsia="zh-CN"/>
              </w:rPr>
            </w:pPr>
            <w:r>
              <w:rPr>
                <w:rFonts w:cs="Times New Roman"/>
                <w:lang w:val="en-US"/>
              </w:rPr>
              <w:t>C33</w:t>
            </w:r>
            <w:r>
              <w:rPr>
                <w:rFonts w:hint="eastAsia" w:cs="Times New Roman"/>
                <w:lang w:val="en-US" w:eastAsia="zh-CN"/>
              </w:rPr>
              <w:t>禾美生活课程</w:t>
            </w:r>
          </w:p>
        </w:tc>
        <w:tc>
          <w:tcPr>
            <w:tcW w:w="355" w:type="pct"/>
            <w:noWrap/>
            <w:tcMar>
              <w:top w:w="15" w:type="dxa"/>
              <w:left w:w="15" w:type="dxa"/>
              <w:right w:w="15" w:type="dxa"/>
            </w:tcMar>
            <w:vAlign w:val="center"/>
          </w:tcPr>
          <w:p w14:paraId="36A6E3D5">
            <w:pPr>
              <w:pStyle w:val="21"/>
              <w:spacing w:line="240" w:lineRule="auto"/>
              <w:rPr>
                <w:rFonts w:hint="eastAsia" w:eastAsia="仿宋_GB2312" w:cs="Times New Roman"/>
                <w:lang w:val="en-US" w:eastAsia="zh-CN"/>
              </w:rPr>
            </w:pPr>
            <w:r>
              <w:rPr>
                <w:rFonts w:hint="eastAsia" w:cs="Times New Roman"/>
                <w:lang w:val="en-US" w:eastAsia="zh-CN"/>
              </w:rPr>
              <w:t>丰富</w:t>
            </w:r>
          </w:p>
        </w:tc>
        <w:tc>
          <w:tcPr>
            <w:tcW w:w="229" w:type="pct"/>
            <w:noWrap/>
            <w:tcMar>
              <w:top w:w="15" w:type="dxa"/>
              <w:left w:w="15" w:type="dxa"/>
              <w:right w:w="15" w:type="dxa"/>
            </w:tcMar>
            <w:vAlign w:val="center"/>
          </w:tcPr>
          <w:p w14:paraId="20E262E5">
            <w:pPr>
              <w:pStyle w:val="21"/>
              <w:spacing w:line="240" w:lineRule="auto"/>
              <w:rPr>
                <w:rFonts w:hint="default" w:eastAsia="仿宋_GB2312" w:cs="Times New Roman"/>
                <w:lang w:val="en-US" w:eastAsia="zh-CN"/>
              </w:rPr>
            </w:pPr>
            <w:r>
              <w:rPr>
                <w:rFonts w:hint="eastAsia" w:cs="Times New Roman"/>
                <w:lang w:val="en-US" w:eastAsia="zh-CN"/>
              </w:rPr>
              <w:t>3</w:t>
            </w:r>
          </w:p>
        </w:tc>
        <w:tc>
          <w:tcPr>
            <w:tcW w:w="1020" w:type="pct"/>
            <w:tcMar>
              <w:top w:w="15" w:type="dxa"/>
              <w:left w:w="15" w:type="dxa"/>
              <w:right w:w="15" w:type="dxa"/>
            </w:tcMar>
            <w:vAlign w:val="center"/>
          </w:tcPr>
          <w:p w14:paraId="3CD23617">
            <w:pPr>
              <w:pStyle w:val="21"/>
              <w:spacing w:line="240" w:lineRule="auto"/>
              <w:jc w:val="left"/>
              <w:rPr>
                <w:rFonts w:cs="Times New Roman"/>
              </w:rPr>
            </w:pPr>
            <w:r>
              <w:rPr>
                <w:rFonts w:cs="Times New Roman"/>
                <w:color w:val="auto"/>
              </w:rPr>
              <w:t>考察</w:t>
            </w:r>
            <w:r>
              <w:rPr>
                <w:rFonts w:hint="eastAsia" w:cs="Times New Roman"/>
                <w:color w:val="auto"/>
                <w:lang w:val="en-US" w:eastAsia="zh-CN"/>
              </w:rPr>
              <w:t>课程建设</w:t>
            </w:r>
            <w:r>
              <w:rPr>
                <w:rFonts w:cs="Times New Roman"/>
                <w:color w:val="auto"/>
              </w:rPr>
              <w:t>情况。</w:t>
            </w:r>
          </w:p>
        </w:tc>
        <w:tc>
          <w:tcPr>
            <w:tcW w:w="1236" w:type="pct"/>
            <w:tcMar>
              <w:top w:w="15" w:type="dxa"/>
              <w:left w:w="15" w:type="dxa"/>
              <w:right w:w="15" w:type="dxa"/>
            </w:tcMar>
            <w:vAlign w:val="center"/>
          </w:tcPr>
          <w:p w14:paraId="23989647">
            <w:pPr>
              <w:pStyle w:val="21"/>
              <w:spacing w:line="240" w:lineRule="auto"/>
              <w:jc w:val="left"/>
              <w:rPr>
                <w:rFonts w:cs="Times New Roman"/>
              </w:rPr>
            </w:pPr>
            <w:r>
              <w:rPr>
                <w:rFonts w:cs="Times New Roman"/>
              </w:rPr>
              <w:t>达到目标值得满分，每低于目标值</w:t>
            </w:r>
            <w:r>
              <w:rPr>
                <w:rFonts w:cs="Times New Roman"/>
                <w:lang w:val="en-US"/>
              </w:rPr>
              <w:t>1次，扣1分，扣完为止</w:t>
            </w:r>
            <w:r>
              <w:rPr>
                <w:rFonts w:cs="Times New Roman"/>
              </w:rPr>
              <w:t>。</w:t>
            </w:r>
          </w:p>
        </w:tc>
        <w:tc>
          <w:tcPr>
            <w:tcW w:w="340" w:type="pct"/>
            <w:tcMar>
              <w:top w:w="15" w:type="dxa"/>
              <w:left w:w="15" w:type="dxa"/>
              <w:right w:w="15" w:type="dxa"/>
            </w:tcMar>
            <w:vAlign w:val="center"/>
          </w:tcPr>
          <w:p w14:paraId="2248E64D">
            <w:pPr>
              <w:pStyle w:val="21"/>
              <w:spacing w:line="240" w:lineRule="auto"/>
              <w:rPr>
                <w:rFonts w:hint="eastAsia" w:cs="Times New Roman"/>
                <w:lang w:val="en-US" w:eastAsia="zh-CN"/>
              </w:rPr>
            </w:pPr>
            <w:r>
              <w:rPr>
                <w:rFonts w:hint="eastAsia" w:cs="Times New Roman"/>
                <w:lang w:val="en-US" w:eastAsia="zh-CN"/>
              </w:rPr>
              <w:t>丰富</w:t>
            </w:r>
          </w:p>
        </w:tc>
        <w:tc>
          <w:tcPr>
            <w:tcW w:w="319" w:type="pct"/>
            <w:tcMar>
              <w:top w:w="15" w:type="dxa"/>
              <w:left w:w="15" w:type="dxa"/>
              <w:right w:w="15" w:type="dxa"/>
            </w:tcMar>
            <w:vAlign w:val="center"/>
          </w:tcPr>
          <w:p w14:paraId="0131D577">
            <w:pPr>
              <w:pStyle w:val="21"/>
              <w:spacing w:line="240" w:lineRule="auto"/>
              <w:rPr>
                <w:rFonts w:hint="eastAsia" w:eastAsia="仿宋_GB2312" w:cs="Times New Roman"/>
                <w:lang w:val="en-US" w:eastAsia="zh-CN"/>
              </w:rPr>
            </w:pPr>
            <w:r>
              <w:rPr>
                <w:rFonts w:hint="eastAsia" w:cs="Times New Roman"/>
                <w:lang w:val="en-US" w:eastAsia="zh-CN"/>
              </w:rPr>
              <w:t>3</w:t>
            </w:r>
          </w:p>
        </w:tc>
        <w:tc>
          <w:tcPr>
            <w:tcW w:w="319" w:type="pct"/>
            <w:tcMar>
              <w:top w:w="15" w:type="dxa"/>
              <w:left w:w="15" w:type="dxa"/>
              <w:right w:w="15" w:type="dxa"/>
            </w:tcMar>
            <w:vAlign w:val="center"/>
          </w:tcPr>
          <w:p w14:paraId="08A5D673">
            <w:pPr>
              <w:pStyle w:val="21"/>
              <w:spacing w:line="240" w:lineRule="auto"/>
              <w:rPr>
                <w:rFonts w:hint="eastAsia" w:cs="Times New Roman"/>
                <w:lang w:val="en-US" w:eastAsia="zh-CN"/>
              </w:rPr>
            </w:pPr>
          </w:p>
        </w:tc>
      </w:tr>
      <w:tr w14:paraId="34EF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295" w:type="pct"/>
            <w:vMerge w:val="continue"/>
            <w:tcMar>
              <w:top w:w="15" w:type="dxa"/>
              <w:left w:w="15" w:type="dxa"/>
              <w:right w:w="15" w:type="dxa"/>
            </w:tcMar>
            <w:vAlign w:val="center"/>
          </w:tcPr>
          <w:p w14:paraId="730C04EE">
            <w:pPr>
              <w:pStyle w:val="21"/>
              <w:spacing w:line="240" w:lineRule="auto"/>
              <w:jc w:val="left"/>
              <w:rPr>
                <w:rFonts w:cs="Times New Roman"/>
                <w:lang w:val="en-US"/>
              </w:rPr>
            </w:pPr>
          </w:p>
        </w:tc>
        <w:tc>
          <w:tcPr>
            <w:tcW w:w="379" w:type="pct"/>
            <w:tcMar>
              <w:top w:w="15" w:type="dxa"/>
              <w:left w:w="15" w:type="dxa"/>
              <w:right w:w="15" w:type="dxa"/>
            </w:tcMar>
            <w:vAlign w:val="center"/>
          </w:tcPr>
          <w:p w14:paraId="745F1AF9">
            <w:pPr>
              <w:pStyle w:val="21"/>
              <w:spacing w:line="240" w:lineRule="auto"/>
              <w:jc w:val="left"/>
              <w:rPr>
                <w:rFonts w:hint="default" w:eastAsia="仿宋_GB2312" w:cs="Times New Roman"/>
                <w:lang w:val="en-US" w:eastAsia="zh-CN"/>
              </w:rPr>
            </w:pPr>
            <w:r>
              <w:rPr>
                <w:rFonts w:hint="eastAsia" w:cs="Times New Roman"/>
                <w:lang w:val="en-US" w:eastAsia="zh-CN"/>
              </w:rPr>
              <w:t>C4幼教联盟</w:t>
            </w:r>
          </w:p>
        </w:tc>
        <w:tc>
          <w:tcPr>
            <w:tcW w:w="502" w:type="pct"/>
            <w:tcMar>
              <w:top w:w="15" w:type="dxa"/>
              <w:left w:w="15" w:type="dxa"/>
              <w:right w:w="15" w:type="dxa"/>
            </w:tcMar>
            <w:vAlign w:val="center"/>
          </w:tcPr>
          <w:p w14:paraId="59CAE1BA">
            <w:pPr>
              <w:pStyle w:val="21"/>
              <w:spacing w:line="240" w:lineRule="auto"/>
              <w:jc w:val="left"/>
              <w:rPr>
                <w:rFonts w:hint="default" w:eastAsia="宋体" w:cs="Times New Roman"/>
                <w:lang w:val="en-US" w:eastAsia="zh-CN"/>
              </w:rPr>
            </w:pPr>
            <w:r>
              <w:rPr>
                <w:rFonts w:hint="eastAsia" w:eastAsia="宋体" w:cs="Times New Roman"/>
                <w:lang w:val="en-US" w:eastAsia="zh-CN"/>
              </w:rPr>
              <w:t>C41</w:t>
            </w:r>
            <w:r>
              <w:rPr>
                <w:rFonts w:hint="eastAsia" w:cs="Times New Roman"/>
                <w:lang w:val="en-US" w:eastAsia="zh-CN"/>
              </w:rPr>
              <w:t>联盟简报数</w:t>
            </w:r>
          </w:p>
        </w:tc>
        <w:tc>
          <w:tcPr>
            <w:tcW w:w="355" w:type="pct"/>
            <w:noWrap/>
            <w:tcMar>
              <w:top w:w="15" w:type="dxa"/>
              <w:left w:w="15" w:type="dxa"/>
              <w:right w:w="15" w:type="dxa"/>
            </w:tcMar>
            <w:vAlign w:val="center"/>
          </w:tcPr>
          <w:p w14:paraId="7FD78820">
            <w:pPr>
              <w:pStyle w:val="21"/>
              <w:spacing w:line="240" w:lineRule="auto"/>
              <w:jc w:val="center"/>
              <w:rPr>
                <w:rFonts w:hint="eastAsia" w:eastAsia="仿宋_GB2312" w:cs="Times New Roman"/>
                <w:lang w:val="en-US" w:eastAsia="zh-CN"/>
              </w:rPr>
            </w:pPr>
            <w:r>
              <w:rPr>
                <w:rFonts w:cs="Times New Roman"/>
                <w:lang w:val="en-US"/>
              </w:rPr>
              <w:t>&gt;=</w:t>
            </w:r>
            <w:r>
              <w:rPr>
                <w:rFonts w:hint="eastAsia" w:cs="Times New Roman"/>
                <w:lang w:val="en-US" w:eastAsia="zh-CN"/>
              </w:rPr>
              <w:t>4</w:t>
            </w:r>
          </w:p>
        </w:tc>
        <w:tc>
          <w:tcPr>
            <w:tcW w:w="229" w:type="pct"/>
            <w:noWrap/>
            <w:tcMar>
              <w:top w:w="15" w:type="dxa"/>
              <w:left w:w="15" w:type="dxa"/>
              <w:right w:w="15" w:type="dxa"/>
            </w:tcMar>
            <w:vAlign w:val="center"/>
          </w:tcPr>
          <w:p w14:paraId="72E0C33E">
            <w:pPr>
              <w:pStyle w:val="21"/>
              <w:spacing w:line="240" w:lineRule="auto"/>
              <w:rPr>
                <w:rFonts w:hint="default" w:eastAsia="仿宋_GB2312" w:cs="Times New Roman"/>
                <w:lang w:val="en-US" w:eastAsia="zh-CN"/>
              </w:rPr>
            </w:pPr>
            <w:r>
              <w:rPr>
                <w:rFonts w:hint="eastAsia" w:cs="Times New Roman"/>
                <w:lang w:val="en-US" w:eastAsia="zh-CN"/>
              </w:rPr>
              <w:t>4</w:t>
            </w:r>
          </w:p>
        </w:tc>
        <w:tc>
          <w:tcPr>
            <w:tcW w:w="1020" w:type="pct"/>
            <w:tcMar>
              <w:top w:w="15" w:type="dxa"/>
              <w:left w:w="15" w:type="dxa"/>
              <w:right w:w="15" w:type="dxa"/>
            </w:tcMar>
            <w:vAlign w:val="center"/>
          </w:tcPr>
          <w:p w14:paraId="312060FB">
            <w:pPr>
              <w:pStyle w:val="21"/>
              <w:spacing w:line="240" w:lineRule="auto"/>
              <w:jc w:val="left"/>
              <w:rPr>
                <w:rFonts w:hint="default" w:eastAsia="仿宋_GB2312" w:cs="Times New Roman"/>
                <w:lang w:val="en-US" w:eastAsia="zh-CN"/>
              </w:rPr>
            </w:pPr>
            <w:r>
              <w:rPr>
                <w:rFonts w:hint="eastAsia" w:cs="Times New Roman"/>
                <w:lang w:val="en-US" w:eastAsia="zh-CN"/>
              </w:rPr>
              <w:t>考察幼教联盟工作常态。</w:t>
            </w:r>
          </w:p>
        </w:tc>
        <w:tc>
          <w:tcPr>
            <w:tcW w:w="1236" w:type="pct"/>
            <w:tcMar>
              <w:top w:w="15" w:type="dxa"/>
              <w:left w:w="15" w:type="dxa"/>
              <w:right w:w="15" w:type="dxa"/>
            </w:tcMar>
            <w:vAlign w:val="center"/>
          </w:tcPr>
          <w:p w14:paraId="4B6F955E">
            <w:pPr>
              <w:pStyle w:val="21"/>
              <w:spacing w:line="240" w:lineRule="auto"/>
              <w:jc w:val="left"/>
              <w:rPr>
                <w:rFonts w:cs="Times New Roman"/>
              </w:rPr>
            </w:pPr>
            <w:r>
              <w:rPr>
                <w:rFonts w:cs="Times New Roman"/>
              </w:rPr>
              <w:t>达到目标值得满分，每低于目标值</w:t>
            </w:r>
            <w:r>
              <w:rPr>
                <w:rFonts w:cs="Times New Roman"/>
                <w:lang w:val="en-US"/>
              </w:rPr>
              <w:t>1次，扣1分，扣完为止</w:t>
            </w:r>
            <w:r>
              <w:rPr>
                <w:rFonts w:cs="Times New Roman"/>
              </w:rPr>
              <w:t>。</w:t>
            </w:r>
          </w:p>
        </w:tc>
        <w:tc>
          <w:tcPr>
            <w:tcW w:w="340" w:type="pct"/>
            <w:tcMar>
              <w:top w:w="15" w:type="dxa"/>
              <w:left w:w="15" w:type="dxa"/>
              <w:right w:w="15" w:type="dxa"/>
            </w:tcMar>
            <w:vAlign w:val="center"/>
          </w:tcPr>
          <w:p w14:paraId="0E881445">
            <w:pPr>
              <w:pStyle w:val="21"/>
              <w:spacing w:line="240" w:lineRule="auto"/>
              <w:rPr>
                <w:rFonts w:hint="default" w:cs="Times New Roman"/>
                <w:lang w:val="en-US" w:eastAsia="zh-CN"/>
              </w:rPr>
            </w:pPr>
            <w:r>
              <w:rPr>
                <w:rFonts w:hint="eastAsia" w:cs="Times New Roman"/>
                <w:lang w:val="en-US" w:eastAsia="zh-CN"/>
              </w:rPr>
              <w:t>5</w:t>
            </w:r>
          </w:p>
        </w:tc>
        <w:tc>
          <w:tcPr>
            <w:tcW w:w="319" w:type="pct"/>
            <w:tcMar>
              <w:top w:w="15" w:type="dxa"/>
              <w:left w:w="15" w:type="dxa"/>
              <w:right w:w="15" w:type="dxa"/>
            </w:tcMar>
            <w:vAlign w:val="center"/>
          </w:tcPr>
          <w:p w14:paraId="53DE4197">
            <w:pPr>
              <w:pStyle w:val="21"/>
              <w:spacing w:line="240" w:lineRule="auto"/>
              <w:rPr>
                <w:rFonts w:hint="default" w:eastAsia="仿宋_GB2312" w:cs="Times New Roman"/>
                <w:lang w:val="en-US" w:eastAsia="zh-CN"/>
              </w:rPr>
            </w:pPr>
            <w:r>
              <w:rPr>
                <w:rFonts w:hint="eastAsia" w:cs="Times New Roman"/>
                <w:lang w:val="en-US" w:eastAsia="zh-CN"/>
              </w:rPr>
              <w:t>4</w:t>
            </w:r>
          </w:p>
        </w:tc>
        <w:tc>
          <w:tcPr>
            <w:tcW w:w="319" w:type="pct"/>
            <w:tcMar>
              <w:top w:w="15" w:type="dxa"/>
              <w:left w:w="15" w:type="dxa"/>
              <w:right w:w="15" w:type="dxa"/>
            </w:tcMar>
            <w:vAlign w:val="center"/>
          </w:tcPr>
          <w:p w14:paraId="22DBB0EB">
            <w:pPr>
              <w:pStyle w:val="21"/>
              <w:spacing w:line="240" w:lineRule="auto"/>
              <w:rPr>
                <w:rFonts w:hint="eastAsia" w:cs="Times New Roman"/>
                <w:lang w:val="en-US" w:eastAsia="zh-CN"/>
              </w:rPr>
            </w:pPr>
          </w:p>
        </w:tc>
      </w:tr>
      <w:tr w14:paraId="4434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295" w:type="pct"/>
            <w:vMerge w:val="restart"/>
            <w:tcMar>
              <w:top w:w="15" w:type="dxa"/>
              <w:left w:w="15" w:type="dxa"/>
              <w:right w:w="15" w:type="dxa"/>
            </w:tcMar>
            <w:vAlign w:val="center"/>
          </w:tcPr>
          <w:p w14:paraId="549A72C4">
            <w:pPr>
              <w:pStyle w:val="21"/>
              <w:spacing w:line="240" w:lineRule="auto"/>
              <w:jc w:val="left"/>
              <w:rPr>
                <w:rFonts w:cs="Times New Roman"/>
              </w:rPr>
            </w:pPr>
            <w:r>
              <w:rPr>
                <w:rFonts w:cs="Times New Roman"/>
                <w:lang w:val="en-US"/>
              </w:rPr>
              <w:t>D履职绩效（30分）</w:t>
            </w:r>
          </w:p>
        </w:tc>
        <w:tc>
          <w:tcPr>
            <w:tcW w:w="379" w:type="pct"/>
            <w:vMerge w:val="restart"/>
            <w:tcMar>
              <w:top w:w="15" w:type="dxa"/>
              <w:left w:w="15" w:type="dxa"/>
              <w:right w:w="15" w:type="dxa"/>
            </w:tcMar>
            <w:vAlign w:val="center"/>
          </w:tcPr>
          <w:p w14:paraId="1D0EFC1B">
            <w:pPr>
              <w:pStyle w:val="21"/>
              <w:spacing w:line="240" w:lineRule="auto"/>
              <w:jc w:val="left"/>
              <w:rPr>
                <w:rFonts w:cs="Times New Roman"/>
              </w:rPr>
            </w:pPr>
            <w:r>
              <w:rPr>
                <w:rFonts w:cs="Times New Roman"/>
                <w:lang w:val="en-US"/>
              </w:rPr>
              <w:t>D1社会效益</w:t>
            </w:r>
          </w:p>
        </w:tc>
        <w:tc>
          <w:tcPr>
            <w:tcW w:w="502" w:type="pct"/>
            <w:tcMar>
              <w:top w:w="15" w:type="dxa"/>
              <w:left w:w="15" w:type="dxa"/>
              <w:right w:w="15" w:type="dxa"/>
            </w:tcMar>
            <w:vAlign w:val="center"/>
          </w:tcPr>
          <w:p w14:paraId="7E1CEC1E">
            <w:pPr>
              <w:pStyle w:val="21"/>
              <w:spacing w:line="240" w:lineRule="auto"/>
              <w:jc w:val="left"/>
              <w:rPr>
                <w:rFonts w:cs="Times New Roman"/>
              </w:rPr>
            </w:pPr>
            <w:r>
              <w:rPr>
                <w:rFonts w:cs="Times New Roman"/>
                <w:lang w:val="en-US"/>
              </w:rPr>
              <w:t>D11</w:t>
            </w:r>
            <w:r>
              <w:rPr>
                <w:rFonts w:cs="Times New Roman"/>
              </w:rPr>
              <w:t>对外交流</w:t>
            </w:r>
            <w:r>
              <w:rPr>
                <w:rFonts w:hint="eastAsia" w:cs="Times New Roman"/>
                <w:lang w:eastAsia="zh-CN"/>
              </w:rPr>
              <w:t>、</w:t>
            </w:r>
            <w:r>
              <w:rPr>
                <w:rFonts w:hint="eastAsia" w:cs="Times New Roman"/>
                <w:lang w:val="en-US" w:eastAsia="zh-CN"/>
              </w:rPr>
              <w:t>帮扶</w:t>
            </w:r>
            <w:r>
              <w:rPr>
                <w:rFonts w:cs="Times New Roman"/>
              </w:rPr>
              <w:t>次数</w:t>
            </w:r>
          </w:p>
        </w:tc>
        <w:tc>
          <w:tcPr>
            <w:tcW w:w="355" w:type="pct"/>
            <w:noWrap/>
            <w:tcMar>
              <w:top w:w="15" w:type="dxa"/>
              <w:left w:w="15" w:type="dxa"/>
              <w:right w:w="15" w:type="dxa"/>
            </w:tcMar>
            <w:vAlign w:val="center"/>
          </w:tcPr>
          <w:p w14:paraId="3C1D18AF">
            <w:pPr>
              <w:pStyle w:val="21"/>
              <w:spacing w:line="240" w:lineRule="auto"/>
              <w:rPr>
                <w:rFonts w:cs="Times New Roman"/>
                <w:lang w:val="en-US"/>
              </w:rPr>
            </w:pPr>
            <w:r>
              <w:rPr>
                <w:rFonts w:cs="Times New Roman"/>
                <w:lang w:val="en-US"/>
              </w:rPr>
              <w:t>&gt;=3</w:t>
            </w:r>
          </w:p>
        </w:tc>
        <w:tc>
          <w:tcPr>
            <w:tcW w:w="229" w:type="pct"/>
            <w:noWrap/>
            <w:tcMar>
              <w:top w:w="15" w:type="dxa"/>
              <w:left w:w="15" w:type="dxa"/>
              <w:right w:w="15" w:type="dxa"/>
            </w:tcMar>
            <w:vAlign w:val="center"/>
          </w:tcPr>
          <w:p w14:paraId="67295FF4">
            <w:pPr>
              <w:pStyle w:val="21"/>
              <w:spacing w:line="240" w:lineRule="auto"/>
              <w:rPr>
                <w:rFonts w:cs="Times New Roman"/>
                <w:lang w:val="en-US"/>
              </w:rPr>
            </w:pPr>
            <w:r>
              <w:rPr>
                <w:rFonts w:cs="Times New Roman"/>
                <w:lang w:val="en-US"/>
              </w:rPr>
              <w:t>3</w:t>
            </w:r>
          </w:p>
        </w:tc>
        <w:tc>
          <w:tcPr>
            <w:tcW w:w="1020" w:type="pct"/>
            <w:tcMar>
              <w:top w:w="15" w:type="dxa"/>
              <w:left w:w="15" w:type="dxa"/>
              <w:right w:w="15" w:type="dxa"/>
            </w:tcMar>
            <w:vAlign w:val="center"/>
          </w:tcPr>
          <w:p w14:paraId="6167A4A1">
            <w:pPr>
              <w:pStyle w:val="21"/>
              <w:spacing w:line="240" w:lineRule="auto"/>
              <w:jc w:val="left"/>
              <w:rPr>
                <w:rFonts w:cs="Times New Roman"/>
              </w:rPr>
            </w:pPr>
            <w:r>
              <w:rPr>
                <w:rFonts w:cs="Times New Roman"/>
              </w:rPr>
              <w:t>考察教育教学活动对外辐射的能力。</w:t>
            </w:r>
          </w:p>
        </w:tc>
        <w:tc>
          <w:tcPr>
            <w:tcW w:w="1236" w:type="pct"/>
            <w:tcMar>
              <w:top w:w="15" w:type="dxa"/>
              <w:left w:w="15" w:type="dxa"/>
              <w:right w:w="15" w:type="dxa"/>
            </w:tcMar>
            <w:vAlign w:val="center"/>
          </w:tcPr>
          <w:p w14:paraId="4F49DBCC">
            <w:pPr>
              <w:pStyle w:val="21"/>
              <w:spacing w:line="240" w:lineRule="auto"/>
              <w:jc w:val="left"/>
              <w:rPr>
                <w:rFonts w:cs="Times New Roman"/>
                <w:lang w:val="en-US"/>
              </w:rPr>
            </w:pPr>
            <w:r>
              <w:rPr>
                <w:rFonts w:cs="Times New Roman"/>
              </w:rPr>
              <w:t>对外接待次数完成目标值得满分，每低于目标值</w:t>
            </w:r>
            <w:r>
              <w:rPr>
                <w:rFonts w:cs="Times New Roman"/>
                <w:lang w:val="en-US"/>
              </w:rPr>
              <w:t>1次，扣1分，扣完为止。</w:t>
            </w:r>
          </w:p>
        </w:tc>
        <w:tc>
          <w:tcPr>
            <w:tcW w:w="340" w:type="pct"/>
            <w:tcMar>
              <w:top w:w="15" w:type="dxa"/>
              <w:left w:w="15" w:type="dxa"/>
              <w:right w:w="15" w:type="dxa"/>
            </w:tcMar>
            <w:vAlign w:val="center"/>
          </w:tcPr>
          <w:p w14:paraId="2B2BABBE">
            <w:pPr>
              <w:pStyle w:val="21"/>
              <w:spacing w:line="240" w:lineRule="auto"/>
              <w:rPr>
                <w:rFonts w:hint="default" w:eastAsia="仿宋_GB2312" w:cs="Times New Roman"/>
                <w:lang w:val="en-US" w:eastAsia="zh-CN"/>
              </w:rPr>
            </w:pPr>
            <w:r>
              <w:rPr>
                <w:rFonts w:hint="eastAsia" w:cs="Times New Roman"/>
                <w:lang w:val="en-US" w:eastAsia="zh-CN"/>
              </w:rPr>
              <w:t>7</w:t>
            </w:r>
          </w:p>
        </w:tc>
        <w:tc>
          <w:tcPr>
            <w:tcW w:w="319" w:type="pct"/>
            <w:tcMar>
              <w:top w:w="15" w:type="dxa"/>
              <w:left w:w="15" w:type="dxa"/>
              <w:right w:w="15" w:type="dxa"/>
            </w:tcMar>
            <w:vAlign w:val="center"/>
          </w:tcPr>
          <w:p w14:paraId="61BDFC22">
            <w:pPr>
              <w:pStyle w:val="21"/>
              <w:spacing w:line="240" w:lineRule="auto"/>
              <w:rPr>
                <w:rFonts w:cs="Times New Roman"/>
                <w:lang w:val="en-US"/>
              </w:rPr>
            </w:pPr>
            <w:r>
              <w:rPr>
                <w:rFonts w:cs="Times New Roman"/>
                <w:lang w:val="en-US"/>
              </w:rPr>
              <w:t>3</w:t>
            </w:r>
          </w:p>
        </w:tc>
        <w:tc>
          <w:tcPr>
            <w:tcW w:w="319" w:type="pct"/>
            <w:tcMar>
              <w:top w:w="15" w:type="dxa"/>
              <w:left w:w="15" w:type="dxa"/>
              <w:right w:w="15" w:type="dxa"/>
            </w:tcMar>
            <w:vAlign w:val="center"/>
          </w:tcPr>
          <w:p w14:paraId="155785E7">
            <w:pPr>
              <w:pStyle w:val="21"/>
              <w:spacing w:line="240" w:lineRule="auto"/>
              <w:rPr>
                <w:rFonts w:cs="Times New Roman"/>
                <w:lang w:val="en-US"/>
              </w:rPr>
            </w:pPr>
          </w:p>
        </w:tc>
      </w:tr>
      <w:tr w14:paraId="40B0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1B8DDD33">
            <w:pPr>
              <w:pStyle w:val="21"/>
              <w:spacing w:line="240" w:lineRule="auto"/>
              <w:jc w:val="left"/>
              <w:rPr>
                <w:rFonts w:cs="Times New Roman"/>
              </w:rPr>
            </w:pPr>
          </w:p>
        </w:tc>
        <w:tc>
          <w:tcPr>
            <w:tcW w:w="379" w:type="pct"/>
            <w:vMerge w:val="continue"/>
            <w:tcMar>
              <w:top w:w="15" w:type="dxa"/>
              <w:left w:w="15" w:type="dxa"/>
              <w:right w:w="15" w:type="dxa"/>
            </w:tcMar>
            <w:vAlign w:val="center"/>
          </w:tcPr>
          <w:p w14:paraId="52057D0E">
            <w:pPr>
              <w:pStyle w:val="21"/>
              <w:spacing w:line="240" w:lineRule="auto"/>
              <w:jc w:val="left"/>
              <w:rPr>
                <w:rFonts w:cs="Times New Roman"/>
              </w:rPr>
            </w:pPr>
          </w:p>
        </w:tc>
        <w:tc>
          <w:tcPr>
            <w:tcW w:w="502" w:type="pct"/>
            <w:tcMar>
              <w:top w:w="15" w:type="dxa"/>
              <w:left w:w="15" w:type="dxa"/>
              <w:right w:w="15" w:type="dxa"/>
            </w:tcMar>
            <w:vAlign w:val="center"/>
          </w:tcPr>
          <w:p w14:paraId="16AC9333">
            <w:pPr>
              <w:pStyle w:val="21"/>
              <w:spacing w:line="240" w:lineRule="auto"/>
              <w:jc w:val="left"/>
              <w:rPr>
                <w:rFonts w:hint="default" w:eastAsia="仿宋_GB2312" w:cs="Times New Roman"/>
                <w:lang w:val="en-US" w:eastAsia="zh-CN"/>
              </w:rPr>
            </w:pPr>
            <w:r>
              <w:rPr>
                <w:rFonts w:cs="Times New Roman"/>
                <w:lang w:val="en-US"/>
              </w:rPr>
              <w:t>D12</w:t>
            </w:r>
            <w:r>
              <w:rPr>
                <w:rFonts w:hint="eastAsia" w:cs="Times New Roman"/>
                <w:lang w:val="en-US" w:eastAsia="zh-CN"/>
              </w:rPr>
              <w:t>新生数量</w:t>
            </w:r>
          </w:p>
        </w:tc>
        <w:tc>
          <w:tcPr>
            <w:tcW w:w="355" w:type="pct"/>
            <w:noWrap/>
            <w:tcMar>
              <w:top w:w="15" w:type="dxa"/>
              <w:left w:w="15" w:type="dxa"/>
              <w:right w:w="15" w:type="dxa"/>
            </w:tcMar>
            <w:vAlign w:val="center"/>
          </w:tcPr>
          <w:p w14:paraId="36E266D7">
            <w:pPr>
              <w:pStyle w:val="21"/>
              <w:spacing w:line="240" w:lineRule="auto"/>
              <w:rPr>
                <w:rFonts w:hint="default" w:eastAsia="仿宋_GB2312" w:cs="Times New Roman"/>
                <w:lang w:val="en-US" w:eastAsia="zh-CN"/>
              </w:rPr>
            </w:pPr>
            <w:r>
              <w:rPr>
                <w:rFonts w:cs="Times New Roman"/>
                <w:lang w:val="en-US"/>
              </w:rPr>
              <w:t>&gt;=</w:t>
            </w:r>
            <w:r>
              <w:rPr>
                <w:rFonts w:hint="eastAsia" w:cs="Times New Roman"/>
                <w:lang w:val="en-US" w:eastAsia="zh-CN"/>
              </w:rPr>
              <w:t>150</w:t>
            </w:r>
          </w:p>
        </w:tc>
        <w:tc>
          <w:tcPr>
            <w:tcW w:w="229" w:type="pct"/>
            <w:tcMar>
              <w:top w:w="15" w:type="dxa"/>
              <w:left w:w="15" w:type="dxa"/>
              <w:right w:w="15" w:type="dxa"/>
            </w:tcMar>
            <w:vAlign w:val="center"/>
          </w:tcPr>
          <w:p w14:paraId="466C8DE6">
            <w:pPr>
              <w:pStyle w:val="21"/>
              <w:spacing w:line="240" w:lineRule="auto"/>
              <w:rPr>
                <w:rFonts w:hint="eastAsia" w:eastAsia="仿宋_GB2312" w:cs="Times New Roman"/>
                <w:lang w:val="en-US" w:eastAsia="zh-CN"/>
              </w:rPr>
            </w:pPr>
            <w:r>
              <w:rPr>
                <w:rFonts w:hint="eastAsia" w:cs="Times New Roman"/>
                <w:lang w:val="en-US" w:eastAsia="zh-CN"/>
              </w:rPr>
              <w:t>4</w:t>
            </w:r>
          </w:p>
        </w:tc>
        <w:tc>
          <w:tcPr>
            <w:tcW w:w="1020" w:type="pct"/>
            <w:tcMar>
              <w:top w:w="15" w:type="dxa"/>
              <w:left w:w="15" w:type="dxa"/>
              <w:right w:w="15" w:type="dxa"/>
            </w:tcMar>
            <w:vAlign w:val="center"/>
          </w:tcPr>
          <w:p w14:paraId="23D3C0F5">
            <w:pPr>
              <w:pStyle w:val="21"/>
              <w:spacing w:line="240" w:lineRule="auto"/>
              <w:jc w:val="left"/>
              <w:rPr>
                <w:rFonts w:hint="default" w:eastAsia="仿宋_GB2312" w:cs="Times New Roman"/>
                <w:b/>
                <w:bCs w:val="0"/>
                <w:lang w:val="en-US" w:eastAsia="zh-CN"/>
              </w:rPr>
            </w:pPr>
            <w:r>
              <w:rPr>
                <w:rFonts w:hint="eastAsia" w:cs="Times New Roman"/>
                <w:b w:val="0"/>
                <w:bCs/>
                <w:lang w:val="en-US" w:eastAsia="zh-CN"/>
              </w:rPr>
              <w:t>考察幼儿园当年招生情况。</w:t>
            </w:r>
          </w:p>
        </w:tc>
        <w:tc>
          <w:tcPr>
            <w:tcW w:w="1236" w:type="pct"/>
            <w:tcMar>
              <w:top w:w="15" w:type="dxa"/>
              <w:left w:w="15" w:type="dxa"/>
              <w:right w:w="15" w:type="dxa"/>
            </w:tcMar>
            <w:vAlign w:val="center"/>
          </w:tcPr>
          <w:p w14:paraId="086B3484">
            <w:pPr>
              <w:pStyle w:val="21"/>
              <w:spacing w:line="240" w:lineRule="auto"/>
              <w:jc w:val="left"/>
              <w:rPr>
                <w:rFonts w:cs="Times New Roman"/>
                <w:b/>
                <w:bCs w:val="0"/>
                <w:lang w:val="en-US"/>
              </w:rPr>
            </w:pPr>
            <w:r>
              <w:rPr>
                <w:rFonts w:cs="Times New Roman"/>
              </w:rPr>
              <w:t>达到目标值得满分，每低于目标值</w:t>
            </w:r>
            <w:r>
              <w:rPr>
                <w:rFonts w:cs="Times New Roman"/>
                <w:lang w:val="en-US"/>
              </w:rPr>
              <w:t>1</w:t>
            </w:r>
            <w:r>
              <w:rPr>
                <w:rFonts w:hint="eastAsia" w:cs="Times New Roman"/>
                <w:lang w:val="en-US" w:eastAsia="zh-CN"/>
              </w:rPr>
              <w:t>0人</w:t>
            </w:r>
            <w:r>
              <w:rPr>
                <w:rFonts w:cs="Times New Roman"/>
                <w:lang w:val="en-US"/>
              </w:rPr>
              <w:t>，扣1分，扣完为止</w:t>
            </w:r>
            <w:r>
              <w:rPr>
                <w:rFonts w:cs="Times New Roman"/>
              </w:rPr>
              <w:t>。</w:t>
            </w:r>
          </w:p>
        </w:tc>
        <w:tc>
          <w:tcPr>
            <w:tcW w:w="340" w:type="pct"/>
            <w:tcMar>
              <w:top w:w="15" w:type="dxa"/>
              <w:left w:w="15" w:type="dxa"/>
              <w:right w:w="15" w:type="dxa"/>
            </w:tcMar>
            <w:vAlign w:val="center"/>
          </w:tcPr>
          <w:p w14:paraId="2DC773A5">
            <w:pPr>
              <w:pStyle w:val="21"/>
              <w:spacing w:line="240" w:lineRule="auto"/>
              <w:rPr>
                <w:rFonts w:hint="default" w:cs="Times New Roman"/>
                <w:lang w:val="en-US" w:eastAsia="zh-CN"/>
              </w:rPr>
            </w:pPr>
            <w:r>
              <w:rPr>
                <w:rFonts w:hint="eastAsia" w:cs="Times New Roman"/>
                <w:lang w:val="en-US" w:eastAsia="zh-CN"/>
              </w:rPr>
              <w:t>180</w:t>
            </w:r>
          </w:p>
        </w:tc>
        <w:tc>
          <w:tcPr>
            <w:tcW w:w="319" w:type="pct"/>
            <w:tcMar>
              <w:top w:w="15" w:type="dxa"/>
              <w:left w:w="15" w:type="dxa"/>
              <w:right w:w="15" w:type="dxa"/>
            </w:tcMar>
            <w:vAlign w:val="center"/>
          </w:tcPr>
          <w:p w14:paraId="6A1ECC10">
            <w:pPr>
              <w:pStyle w:val="21"/>
              <w:spacing w:line="240" w:lineRule="auto"/>
              <w:rPr>
                <w:rFonts w:hint="eastAsia" w:eastAsia="仿宋_GB2312" w:cs="Times New Roman"/>
                <w:lang w:val="en-US" w:eastAsia="zh-CN"/>
              </w:rPr>
            </w:pPr>
            <w:r>
              <w:rPr>
                <w:rFonts w:hint="eastAsia" w:cs="Times New Roman"/>
                <w:lang w:val="en-US" w:eastAsia="zh-CN"/>
              </w:rPr>
              <w:t>4</w:t>
            </w:r>
          </w:p>
        </w:tc>
        <w:tc>
          <w:tcPr>
            <w:tcW w:w="319" w:type="pct"/>
            <w:tcMar>
              <w:top w:w="15" w:type="dxa"/>
              <w:left w:w="15" w:type="dxa"/>
              <w:right w:w="15" w:type="dxa"/>
            </w:tcMar>
            <w:vAlign w:val="center"/>
          </w:tcPr>
          <w:p w14:paraId="5DC0144E">
            <w:pPr>
              <w:pStyle w:val="21"/>
              <w:spacing w:line="240" w:lineRule="auto"/>
              <w:rPr>
                <w:rFonts w:hint="eastAsia" w:cs="Times New Roman"/>
                <w:lang w:val="en-US" w:eastAsia="zh-CN"/>
              </w:rPr>
            </w:pPr>
          </w:p>
        </w:tc>
      </w:tr>
      <w:tr w14:paraId="51C3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295" w:type="pct"/>
            <w:vMerge w:val="continue"/>
            <w:tcMar>
              <w:top w:w="15" w:type="dxa"/>
              <w:left w:w="15" w:type="dxa"/>
              <w:right w:w="15" w:type="dxa"/>
            </w:tcMar>
            <w:vAlign w:val="center"/>
          </w:tcPr>
          <w:p w14:paraId="5F6BE1A8">
            <w:pPr>
              <w:pStyle w:val="21"/>
              <w:spacing w:line="240" w:lineRule="auto"/>
              <w:jc w:val="left"/>
              <w:rPr>
                <w:rFonts w:cs="Times New Roman"/>
              </w:rPr>
            </w:pPr>
          </w:p>
        </w:tc>
        <w:tc>
          <w:tcPr>
            <w:tcW w:w="379" w:type="pct"/>
            <w:vMerge w:val="continue"/>
            <w:tcMar>
              <w:top w:w="15" w:type="dxa"/>
              <w:left w:w="15" w:type="dxa"/>
              <w:right w:w="15" w:type="dxa"/>
            </w:tcMar>
            <w:vAlign w:val="center"/>
          </w:tcPr>
          <w:p w14:paraId="28C68B54">
            <w:pPr>
              <w:pStyle w:val="21"/>
              <w:spacing w:line="240" w:lineRule="auto"/>
              <w:jc w:val="left"/>
              <w:rPr>
                <w:rFonts w:cs="Times New Roman"/>
              </w:rPr>
            </w:pPr>
          </w:p>
        </w:tc>
        <w:tc>
          <w:tcPr>
            <w:tcW w:w="502" w:type="pct"/>
            <w:tcMar>
              <w:top w:w="15" w:type="dxa"/>
              <w:left w:w="15" w:type="dxa"/>
              <w:right w:w="15" w:type="dxa"/>
            </w:tcMar>
            <w:vAlign w:val="center"/>
          </w:tcPr>
          <w:p w14:paraId="35EFB520">
            <w:pPr>
              <w:pStyle w:val="21"/>
              <w:spacing w:line="240" w:lineRule="auto"/>
              <w:jc w:val="left"/>
              <w:rPr>
                <w:rFonts w:hint="default" w:eastAsia="仿宋_GB2312" w:cs="Times New Roman"/>
                <w:color w:val="auto"/>
                <w:lang w:val="en-US" w:eastAsia="zh-CN"/>
              </w:rPr>
            </w:pPr>
            <w:r>
              <w:rPr>
                <w:rFonts w:hint="eastAsia" w:cs="Times New Roman"/>
                <w:color w:val="auto"/>
                <w:lang w:val="en-US" w:eastAsia="zh-CN"/>
              </w:rPr>
              <w:t>D13学生总数</w:t>
            </w:r>
          </w:p>
        </w:tc>
        <w:tc>
          <w:tcPr>
            <w:tcW w:w="355" w:type="pct"/>
            <w:noWrap/>
            <w:tcMar>
              <w:top w:w="15" w:type="dxa"/>
              <w:left w:w="15" w:type="dxa"/>
              <w:right w:w="15" w:type="dxa"/>
            </w:tcMar>
            <w:vAlign w:val="center"/>
          </w:tcPr>
          <w:p w14:paraId="17F5C2EE">
            <w:pPr>
              <w:pStyle w:val="21"/>
              <w:spacing w:line="240" w:lineRule="auto"/>
              <w:jc w:val="center"/>
              <w:rPr>
                <w:rFonts w:hint="default" w:eastAsia="仿宋_GB2312" w:cs="Times New Roman"/>
                <w:color w:val="auto"/>
                <w:lang w:val="en-US" w:eastAsia="zh-CN"/>
              </w:rPr>
            </w:pPr>
            <w:r>
              <w:rPr>
                <w:rFonts w:cs="Times New Roman"/>
                <w:color w:val="auto"/>
                <w:lang w:val="en-US"/>
              </w:rPr>
              <w:t>&gt;=</w:t>
            </w:r>
            <w:r>
              <w:rPr>
                <w:rFonts w:hint="eastAsia" w:cs="Times New Roman"/>
                <w:color w:val="auto"/>
                <w:lang w:val="en-US" w:eastAsia="zh-CN"/>
              </w:rPr>
              <w:t>500</w:t>
            </w:r>
          </w:p>
        </w:tc>
        <w:tc>
          <w:tcPr>
            <w:tcW w:w="229" w:type="pct"/>
            <w:tcMar>
              <w:top w:w="15" w:type="dxa"/>
              <w:left w:w="15" w:type="dxa"/>
              <w:right w:w="15" w:type="dxa"/>
            </w:tcMar>
            <w:vAlign w:val="center"/>
          </w:tcPr>
          <w:p w14:paraId="7C9E3328">
            <w:pPr>
              <w:pStyle w:val="21"/>
              <w:spacing w:line="240" w:lineRule="auto"/>
              <w:jc w:val="center"/>
              <w:rPr>
                <w:rFonts w:hint="default" w:eastAsia="仿宋_GB2312" w:cs="Times New Roman"/>
                <w:color w:val="auto"/>
                <w:lang w:val="en-US" w:eastAsia="zh-CN"/>
              </w:rPr>
            </w:pPr>
            <w:r>
              <w:rPr>
                <w:rFonts w:hint="eastAsia" w:cs="Times New Roman"/>
                <w:color w:val="auto"/>
                <w:lang w:val="en-US" w:eastAsia="zh-CN"/>
              </w:rPr>
              <w:t>5</w:t>
            </w:r>
          </w:p>
        </w:tc>
        <w:tc>
          <w:tcPr>
            <w:tcW w:w="1020" w:type="pct"/>
            <w:tcMar>
              <w:top w:w="15" w:type="dxa"/>
              <w:left w:w="15" w:type="dxa"/>
              <w:right w:w="15" w:type="dxa"/>
            </w:tcMar>
            <w:vAlign w:val="center"/>
          </w:tcPr>
          <w:p w14:paraId="4C0BDDCB">
            <w:pPr>
              <w:pStyle w:val="21"/>
              <w:spacing w:line="240" w:lineRule="auto"/>
              <w:jc w:val="left"/>
              <w:rPr>
                <w:rFonts w:hint="default" w:eastAsia="仿宋_GB2312" w:cs="Times New Roman"/>
                <w:color w:val="auto"/>
                <w:lang w:val="en-US" w:eastAsia="zh-CN"/>
              </w:rPr>
            </w:pPr>
            <w:r>
              <w:rPr>
                <w:rFonts w:hint="eastAsia" w:cs="Times New Roman"/>
                <w:color w:val="auto"/>
                <w:lang w:val="en-US" w:eastAsia="zh-CN"/>
              </w:rPr>
              <w:t>考察幼儿园提供学前教育的规模。</w:t>
            </w:r>
          </w:p>
        </w:tc>
        <w:tc>
          <w:tcPr>
            <w:tcW w:w="1236" w:type="pct"/>
            <w:tcMar>
              <w:top w:w="15" w:type="dxa"/>
              <w:left w:w="15" w:type="dxa"/>
              <w:right w:w="15" w:type="dxa"/>
            </w:tcMar>
            <w:vAlign w:val="center"/>
          </w:tcPr>
          <w:p w14:paraId="6CFB8904">
            <w:pPr>
              <w:pStyle w:val="21"/>
              <w:spacing w:line="240" w:lineRule="auto"/>
              <w:jc w:val="left"/>
              <w:rPr>
                <w:rFonts w:hint="eastAsia" w:eastAsia="仿宋_GB2312" w:cs="Times New Roman"/>
                <w:color w:val="auto"/>
                <w:lang w:val="en-US" w:eastAsia="zh-CN"/>
              </w:rPr>
            </w:pPr>
            <w:r>
              <w:rPr>
                <w:rFonts w:cs="Times New Roman"/>
                <w:color w:val="auto"/>
              </w:rPr>
              <w:t>达到目标值得满分，每低于目标值</w:t>
            </w:r>
            <w:r>
              <w:rPr>
                <w:rFonts w:cs="Times New Roman"/>
                <w:color w:val="auto"/>
                <w:lang w:val="en-US"/>
              </w:rPr>
              <w:t>1</w:t>
            </w:r>
            <w:r>
              <w:rPr>
                <w:rFonts w:hint="eastAsia" w:cs="Times New Roman"/>
                <w:color w:val="auto"/>
                <w:lang w:val="en-US" w:eastAsia="zh-CN"/>
              </w:rPr>
              <w:t>0人</w:t>
            </w:r>
            <w:r>
              <w:rPr>
                <w:rFonts w:cs="Times New Roman"/>
                <w:color w:val="auto"/>
                <w:lang w:val="en-US"/>
              </w:rPr>
              <w:t>，扣1分，扣完为止</w:t>
            </w:r>
            <w:r>
              <w:rPr>
                <w:rFonts w:cs="Times New Roman"/>
                <w:color w:val="auto"/>
              </w:rPr>
              <w:t>。</w:t>
            </w:r>
          </w:p>
        </w:tc>
        <w:tc>
          <w:tcPr>
            <w:tcW w:w="340" w:type="pct"/>
            <w:tcMar>
              <w:top w:w="15" w:type="dxa"/>
              <w:left w:w="15" w:type="dxa"/>
              <w:right w:w="15" w:type="dxa"/>
            </w:tcMar>
            <w:vAlign w:val="center"/>
          </w:tcPr>
          <w:p w14:paraId="750D5B68">
            <w:pPr>
              <w:pStyle w:val="21"/>
              <w:spacing w:line="240" w:lineRule="auto"/>
              <w:rPr>
                <w:rFonts w:hint="default" w:cs="Times New Roman"/>
                <w:lang w:val="en-US" w:eastAsia="zh-CN"/>
              </w:rPr>
            </w:pPr>
            <w:r>
              <w:rPr>
                <w:rFonts w:hint="eastAsia" w:cs="Times New Roman"/>
                <w:lang w:val="en-US" w:eastAsia="zh-CN"/>
              </w:rPr>
              <w:t>600</w:t>
            </w:r>
          </w:p>
        </w:tc>
        <w:tc>
          <w:tcPr>
            <w:tcW w:w="319" w:type="pct"/>
            <w:tcMar>
              <w:top w:w="15" w:type="dxa"/>
              <w:left w:w="15" w:type="dxa"/>
              <w:right w:w="15" w:type="dxa"/>
            </w:tcMar>
            <w:vAlign w:val="center"/>
          </w:tcPr>
          <w:p w14:paraId="190C5F80">
            <w:pPr>
              <w:pStyle w:val="21"/>
              <w:spacing w:line="240" w:lineRule="auto"/>
              <w:rPr>
                <w:rFonts w:hint="default" w:eastAsia="仿宋_GB2312" w:cs="Times New Roman"/>
                <w:lang w:val="en-US" w:eastAsia="zh-CN"/>
              </w:rPr>
            </w:pPr>
            <w:r>
              <w:rPr>
                <w:rFonts w:hint="eastAsia" w:cs="Times New Roman"/>
                <w:lang w:val="en-US" w:eastAsia="zh-CN"/>
              </w:rPr>
              <w:t>5</w:t>
            </w:r>
          </w:p>
        </w:tc>
        <w:tc>
          <w:tcPr>
            <w:tcW w:w="319" w:type="pct"/>
            <w:tcMar>
              <w:top w:w="15" w:type="dxa"/>
              <w:left w:w="15" w:type="dxa"/>
              <w:right w:w="15" w:type="dxa"/>
            </w:tcMar>
            <w:vAlign w:val="center"/>
          </w:tcPr>
          <w:p w14:paraId="3F9084C5">
            <w:pPr>
              <w:pStyle w:val="21"/>
              <w:spacing w:line="240" w:lineRule="auto"/>
              <w:rPr>
                <w:rFonts w:hint="eastAsia" w:cs="Times New Roman"/>
                <w:lang w:val="en-US" w:eastAsia="zh-CN"/>
              </w:rPr>
            </w:pPr>
          </w:p>
        </w:tc>
      </w:tr>
      <w:tr w14:paraId="1D23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1CE7AFF4">
            <w:pPr>
              <w:pStyle w:val="21"/>
              <w:spacing w:line="240" w:lineRule="auto"/>
              <w:jc w:val="left"/>
              <w:rPr>
                <w:rFonts w:cs="Times New Roman"/>
              </w:rPr>
            </w:pPr>
          </w:p>
        </w:tc>
        <w:tc>
          <w:tcPr>
            <w:tcW w:w="379" w:type="pct"/>
            <w:vMerge w:val="continue"/>
            <w:tcMar>
              <w:top w:w="15" w:type="dxa"/>
              <w:left w:w="15" w:type="dxa"/>
              <w:right w:w="15" w:type="dxa"/>
            </w:tcMar>
            <w:vAlign w:val="center"/>
          </w:tcPr>
          <w:p w14:paraId="59B60F10">
            <w:pPr>
              <w:pStyle w:val="21"/>
              <w:spacing w:line="240" w:lineRule="auto"/>
              <w:jc w:val="left"/>
              <w:rPr>
                <w:rFonts w:cs="Times New Roman"/>
              </w:rPr>
            </w:pPr>
          </w:p>
        </w:tc>
        <w:tc>
          <w:tcPr>
            <w:tcW w:w="502" w:type="pct"/>
            <w:tcMar>
              <w:top w:w="15" w:type="dxa"/>
              <w:left w:w="15" w:type="dxa"/>
              <w:right w:w="15" w:type="dxa"/>
            </w:tcMar>
            <w:vAlign w:val="center"/>
          </w:tcPr>
          <w:p w14:paraId="0D20E17D">
            <w:pPr>
              <w:pStyle w:val="21"/>
              <w:spacing w:line="240" w:lineRule="auto"/>
              <w:jc w:val="both"/>
              <w:rPr>
                <w:rFonts w:hint="default" w:cs="Times New Roman"/>
                <w:color w:val="auto"/>
                <w:lang w:val="en-US"/>
              </w:rPr>
            </w:pPr>
            <w:r>
              <w:rPr>
                <w:rFonts w:cs="Times New Roman"/>
                <w:color w:val="auto"/>
                <w:lang w:val="en-US"/>
              </w:rPr>
              <w:t>D1</w:t>
            </w:r>
            <w:r>
              <w:rPr>
                <w:rFonts w:hint="eastAsia" w:cs="Times New Roman"/>
                <w:color w:val="auto"/>
                <w:lang w:val="en-US" w:eastAsia="zh-CN"/>
              </w:rPr>
              <w:t>4专著出版数</w:t>
            </w:r>
          </w:p>
        </w:tc>
        <w:tc>
          <w:tcPr>
            <w:tcW w:w="355" w:type="pct"/>
            <w:noWrap/>
            <w:tcMar>
              <w:top w:w="15" w:type="dxa"/>
              <w:left w:w="15" w:type="dxa"/>
              <w:right w:w="15" w:type="dxa"/>
            </w:tcMar>
            <w:vAlign w:val="center"/>
          </w:tcPr>
          <w:p w14:paraId="46EB8DB8">
            <w:pPr>
              <w:pStyle w:val="21"/>
              <w:spacing w:line="240" w:lineRule="auto"/>
              <w:rPr>
                <w:rFonts w:cs="Times New Roman"/>
                <w:color w:val="auto"/>
                <w:lang w:val="en-US"/>
              </w:rPr>
            </w:pPr>
            <w:r>
              <w:rPr>
                <w:rFonts w:cs="Times New Roman"/>
                <w:color w:val="auto"/>
                <w:lang w:val="en-US"/>
              </w:rPr>
              <w:t>=1</w:t>
            </w:r>
          </w:p>
        </w:tc>
        <w:tc>
          <w:tcPr>
            <w:tcW w:w="229" w:type="pct"/>
            <w:tcMar>
              <w:top w:w="15" w:type="dxa"/>
              <w:left w:w="15" w:type="dxa"/>
              <w:right w:w="15" w:type="dxa"/>
            </w:tcMar>
            <w:vAlign w:val="center"/>
          </w:tcPr>
          <w:p w14:paraId="336B3FDB">
            <w:pPr>
              <w:pStyle w:val="21"/>
              <w:spacing w:line="240" w:lineRule="auto"/>
              <w:rPr>
                <w:rFonts w:hint="eastAsia" w:eastAsia="仿宋_GB2312" w:cs="Times New Roman"/>
                <w:color w:val="auto"/>
                <w:lang w:val="en-US" w:eastAsia="zh-CN"/>
              </w:rPr>
            </w:pPr>
            <w:r>
              <w:rPr>
                <w:rFonts w:hint="eastAsia" w:cs="Times New Roman"/>
                <w:color w:val="auto"/>
                <w:lang w:val="en-US" w:eastAsia="zh-CN"/>
              </w:rPr>
              <w:t>4</w:t>
            </w:r>
          </w:p>
        </w:tc>
        <w:tc>
          <w:tcPr>
            <w:tcW w:w="1020" w:type="pct"/>
            <w:tcMar>
              <w:top w:w="15" w:type="dxa"/>
              <w:left w:w="15" w:type="dxa"/>
              <w:right w:w="15" w:type="dxa"/>
            </w:tcMar>
            <w:vAlign w:val="center"/>
          </w:tcPr>
          <w:p w14:paraId="70D6A837">
            <w:pPr>
              <w:pStyle w:val="21"/>
              <w:spacing w:line="240" w:lineRule="auto"/>
              <w:jc w:val="left"/>
              <w:rPr>
                <w:rFonts w:hint="default" w:eastAsia="仿宋_GB2312" w:cs="Times New Roman"/>
                <w:color w:val="auto"/>
                <w:lang w:val="en-US" w:eastAsia="zh-CN"/>
              </w:rPr>
            </w:pPr>
            <w:r>
              <w:rPr>
                <w:rFonts w:cs="Times New Roman"/>
                <w:color w:val="auto"/>
              </w:rPr>
              <w:t>考察幼儿园</w:t>
            </w:r>
            <w:r>
              <w:rPr>
                <w:rFonts w:hint="eastAsia" w:cs="Times New Roman"/>
                <w:color w:val="auto"/>
                <w:lang w:val="en-US" w:eastAsia="zh-CN"/>
              </w:rPr>
              <w:t>课程成果。</w:t>
            </w:r>
          </w:p>
        </w:tc>
        <w:tc>
          <w:tcPr>
            <w:tcW w:w="1236" w:type="pct"/>
            <w:tcMar>
              <w:top w:w="15" w:type="dxa"/>
              <w:left w:w="15" w:type="dxa"/>
              <w:right w:w="15" w:type="dxa"/>
            </w:tcMar>
            <w:vAlign w:val="center"/>
          </w:tcPr>
          <w:p w14:paraId="469CAF80">
            <w:pPr>
              <w:pStyle w:val="21"/>
              <w:spacing w:line="240" w:lineRule="auto"/>
              <w:jc w:val="left"/>
              <w:rPr>
                <w:rFonts w:cs="Times New Roman"/>
                <w:color w:val="auto"/>
                <w:lang w:val="en-US"/>
              </w:rPr>
            </w:pPr>
            <w:r>
              <w:rPr>
                <w:rFonts w:cs="Times New Roman"/>
                <w:color w:val="auto"/>
                <w:lang w:val="en-US"/>
              </w:rPr>
              <w:t>达到目标值得满分，</w:t>
            </w:r>
            <w:r>
              <w:rPr>
                <w:rFonts w:hint="eastAsia" w:cs="Times New Roman"/>
                <w:color w:val="auto"/>
                <w:lang w:val="en-US" w:eastAsia="zh-CN"/>
              </w:rPr>
              <w:t>否则不得分</w:t>
            </w:r>
          </w:p>
        </w:tc>
        <w:tc>
          <w:tcPr>
            <w:tcW w:w="340" w:type="pct"/>
            <w:tcMar>
              <w:top w:w="15" w:type="dxa"/>
              <w:left w:w="15" w:type="dxa"/>
              <w:right w:w="15" w:type="dxa"/>
            </w:tcMar>
            <w:vAlign w:val="center"/>
          </w:tcPr>
          <w:p w14:paraId="7ACEA662">
            <w:pPr>
              <w:pStyle w:val="21"/>
              <w:spacing w:line="240" w:lineRule="auto"/>
              <w:rPr>
                <w:rFonts w:hint="default" w:cs="Times New Roman"/>
                <w:lang w:val="en-US" w:eastAsia="zh-CN"/>
              </w:rPr>
            </w:pPr>
            <w:r>
              <w:rPr>
                <w:rFonts w:hint="eastAsia" w:cs="Times New Roman"/>
                <w:lang w:val="en-US" w:eastAsia="zh-CN"/>
              </w:rPr>
              <w:t>1</w:t>
            </w:r>
          </w:p>
        </w:tc>
        <w:tc>
          <w:tcPr>
            <w:tcW w:w="319" w:type="pct"/>
            <w:tcMar>
              <w:top w:w="15" w:type="dxa"/>
              <w:left w:w="15" w:type="dxa"/>
              <w:right w:w="15" w:type="dxa"/>
            </w:tcMar>
            <w:vAlign w:val="center"/>
          </w:tcPr>
          <w:p w14:paraId="5B937E5F">
            <w:pPr>
              <w:pStyle w:val="21"/>
              <w:spacing w:line="240" w:lineRule="auto"/>
              <w:rPr>
                <w:rFonts w:hint="eastAsia" w:eastAsia="仿宋_GB2312" w:cs="Times New Roman"/>
                <w:lang w:val="en-US" w:eastAsia="zh-CN"/>
              </w:rPr>
            </w:pPr>
            <w:r>
              <w:rPr>
                <w:rFonts w:hint="eastAsia" w:cs="Times New Roman"/>
                <w:lang w:val="en-US" w:eastAsia="zh-CN"/>
              </w:rPr>
              <w:t>4</w:t>
            </w:r>
          </w:p>
        </w:tc>
        <w:tc>
          <w:tcPr>
            <w:tcW w:w="319" w:type="pct"/>
            <w:tcMar>
              <w:top w:w="15" w:type="dxa"/>
              <w:left w:w="15" w:type="dxa"/>
              <w:right w:w="15" w:type="dxa"/>
            </w:tcMar>
            <w:vAlign w:val="center"/>
          </w:tcPr>
          <w:p w14:paraId="57D9D735">
            <w:pPr>
              <w:pStyle w:val="21"/>
              <w:spacing w:line="240" w:lineRule="auto"/>
              <w:rPr>
                <w:rFonts w:hint="eastAsia" w:cs="Times New Roman"/>
                <w:lang w:val="en-US" w:eastAsia="zh-CN"/>
              </w:rPr>
            </w:pPr>
          </w:p>
        </w:tc>
      </w:tr>
      <w:tr w14:paraId="438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07AFA469">
            <w:pPr>
              <w:pStyle w:val="21"/>
              <w:spacing w:line="240" w:lineRule="auto"/>
              <w:jc w:val="left"/>
              <w:rPr>
                <w:rFonts w:cs="Times New Roman"/>
              </w:rPr>
            </w:pPr>
          </w:p>
        </w:tc>
        <w:tc>
          <w:tcPr>
            <w:tcW w:w="379" w:type="pct"/>
            <w:vMerge w:val="continue"/>
            <w:tcMar>
              <w:top w:w="15" w:type="dxa"/>
              <w:left w:w="15" w:type="dxa"/>
              <w:right w:w="15" w:type="dxa"/>
            </w:tcMar>
            <w:vAlign w:val="center"/>
          </w:tcPr>
          <w:p w14:paraId="7F0BDEAD">
            <w:pPr>
              <w:pStyle w:val="21"/>
              <w:spacing w:line="240" w:lineRule="auto"/>
              <w:jc w:val="left"/>
              <w:rPr>
                <w:rFonts w:cs="Times New Roman"/>
              </w:rPr>
            </w:pPr>
          </w:p>
        </w:tc>
        <w:tc>
          <w:tcPr>
            <w:tcW w:w="502" w:type="pct"/>
            <w:tcMar>
              <w:top w:w="15" w:type="dxa"/>
              <w:left w:w="15" w:type="dxa"/>
              <w:right w:w="15" w:type="dxa"/>
            </w:tcMar>
            <w:vAlign w:val="center"/>
          </w:tcPr>
          <w:p w14:paraId="6A24CB49">
            <w:pPr>
              <w:pStyle w:val="21"/>
              <w:spacing w:line="240" w:lineRule="auto"/>
              <w:jc w:val="both"/>
              <w:rPr>
                <w:rFonts w:hint="default" w:eastAsia="仿宋_GB2312" w:cs="Times New Roman"/>
                <w:lang w:val="en-US" w:eastAsia="zh-CN"/>
              </w:rPr>
            </w:pPr>
            <w:r>
              <w:rPr>
                <w:rFonts w:hint="eastAsia" w:cs="Times New Roman"/>
                <w:lang w:val="en-US" w:eastAsia="zh-CN"/>
              </w:rPr>
              <w:t>D15合作办园数</w:t>
            </w:r>
          </w:p>
        </w:tc>
        <w:tc>
          <w:tcPr>
            <w:tcW w:w="355" w:type="pct"/>
            <w:noWrap/>
            <w:tcMar>
              <w:top w:w="15" w:type="dxa"/>
              <w:left w:w="15" w:type="dxa"/>
              <w:right w:w="15" w:type="dxa"/>
            </w:tcMar>
            <w:vAlign w:val="center"/>
          </w:tcPr>
          <w:p w14:paraId="77AB715F">
            <w:pPr>
              <w:pStyle w:val="21"/>
              <w:spacing w:line="240" w:lineRule="auto"/>
              <w:jc w:val="center"/>
              <w:rPr>
                <w:rFonts w:hint="default" w:eastAsia="仿宋_GB2312" w:cs="Times New Roman"/>
                <w:lang w:val="en-US" w:eastAsia="zh-CN"/>
              </w:rPr>
            </w:pPr>
            <w:r>
              <w:rPr>
                <w:rFonts w:cs="Times New Roman"/>
                <w:lang w:val="en-US"/>
              </w:rPr>
              <w:t>&gt;=1</w:t>
            </w:r>
          </w:p>
        </w:tc>
        <w:tc>
          <w:tcPr>
            <w:tcW w:w="229" w:type="pct"/>
            <w:tcMar>
              <w:top w:w="15" w:type="dxa"/>
              <w:left w:w="15" w:type="dxa"/>
              <w:right w:w="15" w:type="dxa"/>
            </w:tcMar>
            <w:vAlign w:val="center"/>
          </w:tcPr>
          <w:p w14:paraId="2889B835">
            <w:pPr>
              <w:pStyle w:val="21"/>
              <w:spacing w:line="240" w:lineRule="auto"/>
              <w:jc w:val="both"/>
              <w:rPr>
                <w:rFonts w:hint="default" w:eastAsia="仿宋_GB2312" w:cs="Times New Roman"/>
                <w:lang w:val="en-US" w:eastAsia="zh-CN"/>
              </w:rPr>
            </w:pPr>
            <w:r>
              <w:rPr>
                <w:rFonts w:hint="eastAsia" w:cs="Times New Roman"/>
                <w:lang w:val="en-US" w:eastAsia="zh-CN"/>
              </w:rPr>
              <w:t xml:space="preserve">  2</w:t>
            </w:r>
          </w:p>
        </w:tc>
        <w:tc>
          <w:tcPr>
            <w:tcW w:w="1020" w:type="pct"/>
            <w:tcMar>
              <w:top w:w="15" w:type="dxa"/>
              <w:left w:w="15" w:type="dxa"/>
              <w:right w:w="15" w:type="dxa"/>
            </w:tcMar>
            <w:vAlign w:val="center"/>
          </w:tcPr>
          <w:p w14:paraId="7CCAEC58">
            <w:pPr>
              <w:pStyle w:val="21"/>
              <w:spacing w:line="240" w:lineRule="auto"/>
              <w:jc w:val="left"/>
              <w:rPr>
                <w:rFonts w:hint="default" w:eastAsia="仿宋_GB2312" w:cs="Times New Roman"/>
                <w:lang w:val="en-US" w:eastAsia="zh-CN"/>
              </w:rPr>
            </w:pPr>
            <w:r>
              <w:rPr>
                <w:rFonts w:hint="eastAsia" w:cs="Times New Roman"/>
                <w:lang w:val="en-US" w:eastAsia="zh-CN"/>
              </w:rPr>
              <w:t>考察幼儿园品牌力。</w:t>
            </w:r>
          </w:p>
        </w:tc>
        <w:tc>
          <w:tcPr>
            <w:tcW w:w="1236" w:type="pct"/>
            <w:tcMar>
              <w:top w:w="15" w:type="dxa"/>
              <w:left w:w="15" w:type="dxa"/>
              <w:right w:w="15" w:type="dxa"/>
            </w:tcMar>
            <w:vAlign w:val="center"/>
          </w:tcPr>
          <w:p w14:paraId="3C2674EB">
            <w:pPr>
              <w:pStyle w:val="21"/>
              <w:spacing w:line="240" w:lineRule="auto"/>
              <w:jc w:val="left"/>
              <w:rPr>
                <w:rFonts w:hint="default" w:eastAsia="仿宋_GB2312" w:cs="Times New Roman"/>
                <w:lang w:val="en-US" w:eastAsia="zh-CN"/>
              </w:rPr>
            </w:pPr>
            <w:r>
              <w:rPr>
                <w:rFonts w:hint="eastAsia" w:cs="Times New Roman"/>
                <w:lang w:val="en-US" w:eastAsia="zh-CN"/>
              </w:rPr>
              <w:t>达到目标值的满分，否则不得分。</w:t>
            </w:r>
          </w:p>
        </w:tc>
        <w:tc>
          <w:tcPr>
            <w:tcW w:w="340" w:type="pct"/>
            <w:tcMar>
              <w:top w:w="15" w:type="dxa"/>
              <w:left w:w="15" w:type="dxa"/>
              <w:right w:w="15" w:type="dxa"/>
            </w:tcMar>
            <w:vAlign w:val="center"/>
          </w:tcPr>
          <w:p w14:paraId="7669D548">
            <w:pPr>
              <w:pStyle w:val="21"/>
              <w:spacing w:line="240" w:lineRule="auto"/>
              <w:rPr>
                <w:rFonts w:hint="default" w:cs="Times New Roman"/>
                <w:lang w:val="en-US" w:eastAsia="zh-CN"/>
              </w:rPr>
            </w:pPr>
            <w:r>
              <w:rPr>
                <w:rFonts w:hint="eastAsia" w:cs="Times New Roman"/>
                <w:lang w:val="en-US" w:eastAsia="zh-CN"/>
              </w:rPr>
              <w:t>1</w:t>
            </w:r>
          </w:p>
        </w:tc>
        <w:tc>
          <w:tcPr>
            <w:tcW w:w="319" w:type="pct"/>
            <w:tcMar>
              <w:top w:w="15" w:type="dxa"/>
              <w:left w:w="15" w:type="dxa"/>
              <w:right w:w="15" w:type="dxa"/>
            </w:tcMar>
            <w:vAlign w:val="center"/>
          </w:tcPr>
          <w:p w14:paraId="5FB55402">
            <w:pPr>
              <w:pStyle w:val="21"/>
              <w:spacing w:line="240" w:lineRule="auto"/>
              <w:rPr>
                <w:rFonts w:hint="default" w:eastAsia="仿宋_GB2312" w:cs="Times New Roman"/>
                <w:lang w:val="en-US" w:eastAsia="zh-CN"/>
              </w:rPr>
            </w:pPr>
            <w:r>
              <w:rPr>
                <w:rFonts w:hint="eastAsia" w:cs="Times New Roman"/>
                <w:lang w:val="en-US" w:eastAsia="zh-CN"/>
              </w:rPr>
              <w:t>2</w:t>
            </w:r>
          </w:p>
        </w:tc>
        <w:tc>
          <w:tcPr>
            <w:tcW w:w="319" w:type="pct"/>
            <w:tcMar>
              <w:top w:w="15" w:type="dxa"/>
              <w:left w:w="15" w:type="dxa"/>
              <w:right w:w="15" w:type="dxa"/>
            </w:tcMar>
            <w:vAlign w:val="center"/>
          </w:tcPr>
          <w:p w14:paraId="0D0E1FD0">
            <w:pPr>
              <w:pStyle w:val="21"/>
              <w:spacing w:line="240" w:lineRule="auto"/>
              <w:rPr>
                <w:rFonts w:hint="eastAsia" w:cs="Times New Roman"/>
                <w:lang w:val="en-US" w:eastAsia="zh-CN"/>
              </w:rPr>
            </w:pPr>
          </w:p>
        </w:tc>
      </w:tr>
      <w:tr w14:paraId="0A03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295" w:type="pct"/>
            <w:vMerge w:val="continue"/>
            <w:tcMar>
              <w:top w:w="15" w:type="dxa"/>
              <w:left w:w="15" w:type="dxa"/>
              <w:right w:w="15" w:type="dxa"/>
            </w:tcMar>
            <w:vAlign w:val="center"/>
          </w:tcPr>
          <w:p w14:paraId="3C6EC3B6">
            <w:pPr>
              <w:pStyle w:val="21"/>
              <w:spacing w:line="240" w:lineRule="auto"/>
              <w:jc w:val="left"/>
              <w:rPr>
                <w:rFonts w:cs="Times New Roman"/>
              </w:rPr>
            </w:pPr>
          </w:p>
        </w:tc>
        <w:tc>
          <w:tcPr>
            <w:tcW w:w="379" w:type="pct"/>
            <w:vMerge w:val="restart"/>
            <w:tcMar>
              <w:top w:w="15" w:type="dxa"/>
              <w:left w:w="15" w:type="dxa"/>
              <w:right w:w="15" w:type="dxa"/>
            </w:tcMar>
            <w:vAlign w:val="center"/>
          </w:tcPr>
          <w:p w14:paraId="214FDF3C">
            <w:pPr>
              <w:pStyle w:val="21"/>
              <w:spacing w:line="240" w:lineRule="auto"/>
              <w:jc w:val="left"/>
              <w:rPr>
                <w:rFonts w:cs="Times New Roman"/>
              </w:rPr>
            </w:pPr>
            <w:r>
              <w:rPr>
                <w:rFonts w:cs="Times New Roman"/>
                <w:lang w:val="en-US"/>
              </w:rPr>
              <w:t>D2满意度</w:t>
            </w:r>
          </w:p>
        </w:tc>
        <w:tc>
          <w:tcPr>
            <w:tcW w:w="502" w:type="pct"/>
            <w:tcMar>
              <w:top w:w="15" w:type="dxa"/>
              <w:left w:w="15" w:type="dxa"/>
              <w:right w:w="15" w:type="dxa"/>
            </w:tcMar>
            <w:vAlign w:val="center"/>
          </w:tcPr>
          <w:p w14:paraId="6FD915A6">
            <w:pPr>
              <w:pStyle w:val="21"/>
              <w:spacing w:line="240" w:lineRule="auto"/>
              <w:jc w:val="left"/>
              <w:rPr>
                <w:rFonts w:cs="Times New Roman"/>
              </w:rPr>
            </w:pPr>
            <w:r>
              <w:rPr>
                <w:rFonts w:cs="Times New Roman"/>
                <w:lang w:val="en-US"/>
              </w:rPr>
              <w:t>D21</w:t>
            </w:r>
            <w:r>
              <w:rPr>
                <w:rFonts w:cs="Times New Roman"/>
              </w:rPr>
              <w:t>家长满意度</w:t>
            </w:r>
          </w:p>
        </w:tc>
        <w:tc>
          <w:tcPr>
            <w:tcW w:w="355" w:type="pct"/>
            <w:noWrap/>
            <w:tcMar>
              <w:top w:w="15" w:type="dxa"/>
              <w:left w:w="15" w:type="dxa"/>
              <w:right w:w="15" w:type="dxa"/>
            </w:tcMar>
            <w:vAlign w:val="center"/>
          </w:tcPr>
          <w:p w14:paraId="2A3ECA91">
            <w:pPr>
              <w:pStyle w:val="21"/>
              <w:spacing w:line="240" w:lineRule="auto"/>
              <w:rPr>
                <w:rFonts w:cs="Times New Roman"/>
              </w:rPr>
            </w:pPr>
            <w:r>
              <w:rPr>
                <w:rFonts w:cs="Times New Roman"/>
                <w:lang w:val="en-US"/>
              </w:rPr>
              <w:t>&gt;=9</w:t>
            </w:r>
            <w:r>
              <w:rPr>
                <w:rFonts w:hint="eastAsia" w:cs="Times New Roman"/>
                <w:lang w:val="en-US" w:eastAsia="zh-CN"/>
              </w:rPr>
              <w:t>0</w:t>
            </w:r>
            <w:r>
              <w:rPr>
                <w:rFonts w:cs="Times New Roman"/>
                <w:lang w:val="en-US"/>
              </w:rPr>
              <w:t>%</w:t>
            </w:r>
          </w:p>
        </w:tc>
        <w:tc>
          <w:tcPr>
            <w:tcW w:w="229" w:type="pct"/>
            <w:tcMar>
              <w:top w:w="15" w:type="dxa"/>
              <w:left w:w="15" w:type="dxa"/>
              <w:right w:w="15" w:type="dxa"/>
            </w:tcMar>
            <w:vAlign w:val="center"/>
          </w:tcPr>
          <w:p w14:paraId="60F267A8">
            <w:pPr>
              <w:pStyle w:val="21"/>
              <w:spacing w:line="240" w:lineRule="auto"/>
              <w:rPr>
                <w:rFonts w:hint="eastAsia" w:eastAsia="仿宋_GB2312" w:cs="Times New Roman"/>
                <w:lang w:val="en-US" w:eastAsia="zh-CN"/>
              </w:rPr>
            </w:pPr>
            <w:r>
              <w:rPr>
                <w:rFonts w:cs="Times New Roman"/>
                <w:lang w:val="en-US"/>
              </w:rPr>
              <w:t>1</w:t>
            </w:r>
            <w:r>
              <w:rPr>
                <w:rFonts w:hint="eastAsia" w:cs="Times New Roman"/>
                <w:lang w:val="en-US" w:eastAsia="zh-CN"/>
              </w:rPr>
              <w:t>0</w:t>
            </w:r>
          </w:p>
        </w:tc>
        <w:tc>
          <w:tcPr>
            <w:tcW w:w="1020" w:type="pct"/>
            <w:tcMar>
              <w:top w:w="15" w:type="dxa"/>
              <w:left w:w="15" w:type="dxa"/>
              <w:right w:w="15" w:type="dxa"/>
            </w:tcMar>
            <w:vAlign w:val="center"/>
          </w:tcPr>
          <w:p w14:paraId="048A5FE6">
            <w:pPr>
              <w:pStyle w:val="21"/>
              <w:spacing w:line="240" w:lineRule="auto"/>
              <w:jc w:val="left"/>
              <w:rPr>
                <w:rFonts w:hint="eastAsia" w:eastAsia="仿宋_GB2312" w:cs="Times New Roman"/>
                <w:lang w:eastAsia="zh-CN"/>
              </w:rPr>
            </w:pPr>
            <w:r>
              <w:rPr>
                <w:rFonts w:cs="Times New Roman"/>
              </w:rPr>
              <w:t>考察服务对象对幼儿园整体工作的满意情况</w:t>
            </w:r>
            <w:r>
              <w:rPr>
                <w:rFonts w:hint="eastAsia" w:cs="Times New Roman"/>
                <w:lang w:eastAsia="zh-CN"/>
              </w:rPr>
              <w:t>。</w:t>
            </w:r>
          </w:p>
        </w:tc>
        <w:tc>
          <w:tcPr>
            <w:tcW w:w="1236" w:type="pct"/>
            <w:tcMar>
              <w:top w:w="15" w:type="dxa"/>
              <w:left w:w="15" w:type="dxa"/>
              <w:right w:w="15" w:type="dxa"/>
            </w:tcMar>
            <w:vAlign w:val="center"/>
          </w:tcPr>
          <w:p w14:paraId="224E3812">
            <w:pPr>
              <w:pStyle w:val="21"/>
              <w:spacing w:line="240" w:lineRule="auto"/>
              <w:jc w:val="left"/>
              <w:rPr>
                <w:rFonts w:cs="Times New Roman"/>
              </w:rPr>
            </w:pPr>
            <w:r>
              <w:rPr>
                <w:rFonts w:cs="Times New Roman"/>
              </w:rPr>
              <w:t>家长满意度达到目标值得满分，每低于目标值</w:t>
            </w:r>
            <w:r>
              <w:rPr>
                <w:rFonts w:cs="Times New Roman"/>
                <w:lang w:val="en-US"/>
              </w:rPr>
              <w:t>1个百分点，扣1分，扣完为止。</w:t>
            </w:r>
          </w:p>
        </w:tc>
        <w:tc>
          <w:tcPr>
            <w:tcW w:w="340" w:type="pct"/>
            <w:tcMar>
              <w:top w:w="15" w:type="dxa"/>
              <w:left w:w="15" w:type="dxa"/>
              <w:right w:w="15" w:type="dxa"/>
            </w:tcMar>
            <w:vAlign w:val="center"/>
          </w:tcPr>
          <w:p w14:paraId="1437E690">
            <w:pPr>
              <w:pStyle w:val="21"/>
              <w:spacing w:line="240" w:lineRule="auto"/>
              <w:rPr>
                <w:rFonts w:hint="default" w:eastAsia="仿宋_GB2312" w:cs="Times New Roman"/>
                <w:lang w:val="en-US" w:eastAsia="zh-CN"/>
              </w:rPr>
            </w:pPr>
            <w:r>
              <w:rPr>
                <w:rFonts w:hint="eastAsia" w:cs="Times New Roman"/>
                <w:lang w:val="en-US" w:eastAsia="zh-CN"/>
              </w:rPr>
              <w:t>99%</w:t>
            </w:r>
          </w:p>
        </w:tc>
        <w:tc>
          <w:tcPr>
            <w:tcW w:w="319" w:type="pct"/>
            <w:tcMar>
              <w:top w:w="15" w:type="dxa"/>
              <w:left w:w="15" w:type="dxa"/>
              <w:right w:w="15" w:type="dxa"/>
            </w:tcMar>
            <w:vAlign w:val="center"/>
          </w:tcPr>
          <w:p w14:paraId="32A514A2">
            <w:pPr>
              <w:pStyle w:val="21"/>
              <w:spacing w:line="240" w:lineRule="auto"/>
              <w:rPr>
                <w:rFonts w:hint="eastAsia" w:eastAsia="仿宋_GB2312" w:cs="Times New Roman"/>
                <w:lang w:val="en-US" w:eastAsia="zh-CN"/>
              </w:rPr>
            </w:pPr>
            <w:r>
              <w:rPr>
                <w:rFonts w:cs="Times New Roman"/>
                <w:lang w:val="en-US"/>
              </w:rPr>
              <w:t>1</w:t>
            </w:r>
            <w:r>
              <w:rPr>
                <w:rFonts w:hint="eastAsia" w:cs="Times New Roman"/>
                <w:lang w:val="en-US" w:eastAsia="zh-CN"/>
              </w:rPr>
              <w:t>0</w:t>
            </w:r>
          </w:p>
        </w:tc>
        <w:tc>
          <w:tcPr>
            <w:tcW w:w="319" w:type="pct"/>
            <w:tcMar>
              <w:top w:w="15" w:type="dxa"/>
              <w:left w:w="15" w:type="dxa"/>
              <w:right w:w="15" w:type="dxa"/>
            </w:tcMar>
            <w:vAlign w:val="center"/>
          </w:tcPr>
          <w:p w14:paraId="72E565B2">
            <w:pPr>
              <w:pStyle w:val="21"/>
              <w:spacing w:line="240" w:lineRule="auto"/>
              <w:rPr>
                <w:rFonts w:cs="Times New Roman"/>
                <w:lang w:val="en-US"/>
              </w:rPr>
            </w:pPr>
          </w:p>
        </w:tc>
      </w:tr>
      <w:tr w14:paraId="12C7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295" w:type="pct"/>
            <w:vMerge w:val="continue"/>
            <w:tcMar>
              <w:top w:w="15" w:type="dxa"/>
              <w:left w:w="15" w:type="dxa"/>
              <w:right w:w="15" w:type="dxa"/>
            </w:tcMar>
            <w:vAlign w:val="center"/>
          </w:tcPr>
          <w:p w14:paraId="63D70BB6">
            <w:pPr>
              <w:pStyle w:val="21"/>
              <w:spacing w:line="240" w:lineRule="auto"/>
              <w:jc w:val="left"/>
              <w:rPr>
                <w:rFonts w:cs="Times New Roman"/>
              </w:rPr>
            </w:pPr>
          </w:p>
        </w:tc>
        <w:tc>
          <w:tcPr>
            <w:tcW w:w="379" w:type="pct"/>
            <w:vMerge w:val="continue"/>
            <w:tcMar>
              <w:top w:w="15" w:type="dxa"/>
              <w:left w:w="15" w:type="dxa"/>
              <w:right w:w="15" w:type="dxa"/>
            </w:tcMar>
            <w:vAlign w:val="center"/>
          </w:tcPr>
          <w:p w14:paraId="63636714">
            <w:pPr>
              <w:pStyle w:val="21"/>
              <w:spacing w:line="240" w:lineRule="auto"/>
              <w:jc w:val="left"/>
              <w:rPr>
                <w:rFonts w:cs="Times New Roman"/>
                <w:lang w:val="en-US"/>
              </w:rPr>
            </w:pPr>
          </w:p>
        </w:tc>
        <w:tc>
          <w:tcPr>
            <w:tcW w:w="502" w:type="pct"/>
            <w:tcMar>
              <w:top w:w="15" w:type="dxa"/>
              <w:left w:w="15" w:type="dxa"/>
              <w:right w:w="15" w:type="dxa"/>
            </w:tcMar>
            <w:vAlign w:val="center"/>
          </w:tcPr>
          <w:p w14:paraId="1EFB5B8F">
            <w:pPr>
              <w:pStyle w:val="21"/>
              <w:spacing w:line="240" w:lineRule="auto"/>
              <w:jc w:val="left"/>
              <w:rPr>
                <w:rFonts w:cs="Times New Roman"/>
                <w:lang w:val="en-US"/>
              </w:rPr>
            </w:pPr>
            <w:r>
              <w:rPr>
                <w:rFonts w:cs="Times New Roman"/>
                <w:lang w:val="en-US"/>
              </w:rPr>
              <w:t>D22家长学校开课次数</w:t>
            </w:r>
          </w:p>
        </w:tc>
        <w:tc>
          <w:tcPr>
            <w:tcW w:w="355" w:type="pct"/>
            <w:noWrap/>
            <w:tcMar>
              <w:top w:w="15" w:type="dxa"/>
              <w:left w:w="15" w:type="dxa"/>
              <w:right w:w="15" w:type="dxa"/>
            </w:tcMar>
            <w:vAlign w:val="center"/>
          </w:tcPr>
          <w:p w14:paraId="58A8A117">
            <w:pPr>
              <w:pStyle w:val="21"/>
              <w:spacing w:line="240" w:lineRule="auto"/>
              <w:rPr>
                <w:rFonts w:hint="eastAsia" w:eastAsia="仿宋_GB2312" w:cs="Times New Roman"/>
                <w:lang w:val="en-US" w:eastAsia="zh-CN"/>
              </w:rPr>
            </w:pPr>
            <w:r>
              <w:rPr>
                <w:rFonts w:cs="Times New Roman"/>
                <w:lang w:val="en-US"/>
              </w:rPr>
              <w:t>&gt;=</w:t>
            </w:r>
            <w:r>
              <w:rPr>
                <w:rFonts w:hint="eastAsia" w:cs="Times New Roman"/>
                <w:lang w:val="en-US" w:eastAsia="zh-CN"/>
              </w:rPr>
              <w:t>2</w:t>
            </w:r>
          </w:p>
        </w:tc>
        <w:tc>
          <w:tcPr>
            <w:tcW w:w="229" w:type="pct"/>
            <w:tcMar>
              <w:top w:w="15" w:type="dxa"/>
              <w:left w:w="15" w:type="dxa"/>
              <w:right w:w="15" w:type="dxa"/>
            </w:tcMar>
            <w:vAlign w:val="center"/>
          </w:tcPr>
          <w:p w14:paraId="652B1B5F">
            <w:pPr>
              <w:pStyle w:val="21"/>
              <w:spacing w:line="240" w:lineRule="auto"/>
              <w:rPr>
                <w:rFonts w:hint="default" w:eastAsia="仿宋_GB2312" w:cs="Times New Roman"/>
                <w:lang w:val="en-US" w:eastAsia="zh-CN"/>
              </w:rPr>
            </w:pPr>
            <w:r>
              <w:rPr>
                <w:rFonts w:hint="eastAsia" w:cs="Times New Roman"/>
                <w:lang w:val="en-US" w:eastAsia="zh-CN"/>
              </w:rPr>
              <w:t>2</w:t>
            </w:r>
          </w:p>
        </w:tc>
        <w:tc>
          <w:tcPr>
            <w:tcW w:w="1020" w:type="pct"/>
            <w:tcMar>
              <w:top w:w="15" w:type="dxa"/>
              <w:left w:w="15" w:type="dxa"/>
              <w:right w:w="15" w:type="dxa"/>
            </w:tcMar>
            <w:vAlign w:val="center"/>
          </w:tcPr>
          <w:p w14:paraId="36DFABAC">
            <w:pPr>
              <w:pStyle w:val="21"/>
              <w:spacing w:line="240" w:lineRule="auto"/>
              <w:jc w:val="left"/>
              <w:rPr>
                <w:rFonts w:cs="Times New Roman"/>
              </w:rPr>
            </w:pPr>
            <w:r>
              <w:rPr>
                <w:rFonts w:cs="Times New Roman"/>
              </w:rPr>
              <w:t>考察</w:t>
            </w:r>
            <w:r>
              <w:rPr>
                <w:rFonts w:hint="eastAsia" w:cs="Times New Roman"/>
                <w:lang w:val="en-US" w:eastAsia="zh-CN"/>
              </w:rPr>
              <w:t>家园共育</w:t>
            </w:r>
            <w:r>
              <w:rPr>
                <w:rFonts w:cs="Times New Roman"/>
              </w:rPr>
              <w:t>情况。</w:t>
            </w:r>
          </w:p>
        </w:tc>
        <w:tc>
          <w:tcPr>
            <w:tcW w:w="1236" w:type="pct"/>
            <w:tcMar>
              <w:top w:w="15" w:type="dxa"/>
              <w:left w:w="15" w:type="dxa"/>
              <w:right w:w="15" w:type="dxa"/>
            </w:tcMar>
            <w:vAlign w:val="center"/>
          </w:tcPr>
          <w:p w14:paraId="4BE8DC22">
            <w:pPr>
              <w:pStyle w:val="21"/>
              <w:spacing w:line="240" w:lineRule="auto"/>
              <w:jc w:val="left"/>
              <w:rPr>
                <w:rFonts w:cs="Times New Roman"/>
              </w:rPr>
            </w:pPr>
            <w:r>
              <w:rPr>
                <w:rFonts w:cs="Times New Roman"/>
              </w:rPr>
              <w:t>达到目标值得满分，每低于目标值1次，扣</w:t>
            </w:r>
            <w:r>
              <w:rPr>
                <w:rFonts w:hint="eastAsia" w:cs="Times New Roman"/>
                <w:lang w:val="en-US" w:eastAsia="zh-CN"/>
              </w:rPr>
              <w:t>1</w:t>
            </w:r>
            <w:r>
              <w:rPr>
                <w:rFonts w:cs="Times New Roman"/>
              </w:rPr>
              <w:t>分，扣完为止。</w:t>
            </w:r>
          </w:p>
        </w:tc>
        <w:tc>
          <w:tcPr>
            <w:tcW w:w="340" w:type="pct"/>
            <w:tcMar>
              <w:top w:w="15" w:type="dxa"/>
              <w:left w:w="15" w:type="dxa"/>
              <w:right w:w="15" w:type="dxa"/>
            </w:tcMar>
            <w:vAlign w:val="center"/>
          </w:tcPr>
          <w:p w14:paraId="53460882">
            <w:pPr>
              <w:pStyle w:val="21"/>
              <w:spacing w:line="240" w:lineRule="auto"/>
              <w:rPr>
                <w:rFonts w:hint="default" w:cs="Times New Roman"/>
                <w:lang w:val="en-US" w:eastAsia="zh-CN"/>
              </w:rPr>
            </w:pPr>
            <w:r>
              <w:rPr>
                <w:rFonts w:hint="eastAsia" w:cs="Times New Roman"/>
                <w:lang w:val="en-US" w:eastAsia="zh-CN"/>
              </w:rPr>
              <w:t>1</w:t>
            </w:r>
          </w:p>
        </w:tc>
        <w:tc>
          <w:tcPr>
            <w:tcW w:w="319" w:type="pct"/>
            <w:tcMar>
              <w:top w:w="15" w:type="dxa"/>
              <w:left w:w="15" w:type="dxa"/>
              <w:right w:w="15" w:type="dxa"/>
            </w:tcMar>
            <w:vAlign w:val="center"/>
          </w:tcPr>
          <w:p w14:paraId="5769554F">
            <w:pPr>
              <w:pStyle w:val="21"/>
              <w:spacing w:line="240" w:lineRule="auto"/>
              <w:rPr>
                <w:rFonts w:hint="default" w:eastAsia="仿宋_GB2312" w:cs="Times New Roman"/>
                <w:lang w:val="en-US" w:eastAsia="zh-CN"/>
              </w:rPr>
            </w:pPr>
            <w:r>
              <w:rPr>
                <w:rFonts w:hint="eastAsia" w:cs="Times New Roman"/>
                <w:lang w:val="en-US" w:eastAsia="zh-CN"/>
              </w:rPr>
              <w:t>1</w:t>
            </w:r>
          </w:p>
        </w:tc>
        <w:tc>
          <w:tcPr>
            <w:tcW w:w="319" w:type="pct"/>
            <w:tcMar>
              <w:top w:w="15" w:type="dxa"/>
              <w:left w:w="15" w:type="dxa"/>
              <w:right w:w="15" w:type="dxa"/>
            </w:tcMar>
            <w:vAlign w:val="center"/>
          </w:tcPr>
          <w:p w14:paraId="0762546A">
            <w:pPr>
              <w:pStyle w:val="21"/>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s="Times New Roman"/>
                <w:sz w:val="15"/>
                <w:szCs w:val="15"/>
                <w:lang w:val="en-US" w:eastAsia="zh-CN"/>
              </w:rPr>
            </w:pPr>
            <w:r>
              <w:rPr>
                <w:rFonts w:hint="eastAsia" w:cs="Times New Roman"/>
                <w:sz w:val="13"/>
                <w:szCs w:val="13"/>
                <w:lang w:val="en-US" w:eastAsia="zh-CN"/>
              </w:rPr>
              <w:t>探索家园共育新模式，幼小衔接没有采用传统家长学校开课讲座的模式进行</w:t>
            </w:r>
          </w:p>
        </w:tc>
      </w:tr>
      <w:tr w14:paraId="04A6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restart"/>
            <w:tcMar>
              <w:top w:w="15" w:type="dxa"/>
              <w:left w:w="15" w:type="dxa"/>
              <w:right w:w="15" w:type="dxa"/>
            </w:tcMar>
            <w:vAlign w:val="center"/>
          </w:tcPr>
          <w:p w14:paraId="5BD10CCC">
            <w:pPr>
              <w:pStyle w:val="21"/>
              <w:spacing w:line="240" w:lineRule="auto"/>
              <w:jc w:val="left"/>
              <w:rPr>
                <w:rFonts w:cs="Times New Roman"/>
              </w:rPr>
            </w:pPr>
            <w:r>
              <w:rPr>
                <w:rFonts w:cs="Times New Roman"/>
                <w:lang w:val="en-US"/>
              </w:rPr>
              <w:t>E可持续发展能力（5分）</w:t>
            </w:r>
          </w:p>
        </w:tc>
        <w:tc>
          <w:tcPr>
            <w:tcW w:w="379" w:type="pct"/>
            <w:vMerge w:val="restart"/>
            <w:tcMar>
              <w:top w:w="15" w:type="dxa"/>
              <w:left w:w="15" w:type="dxa"/>
              <w:right w:w="15" w:type="dxa"/>
            </w:tcMar>
            <w:vAlign w:val="center"/>
          </w:tcPr>
          <w:p w14:paraId="21C6E19F">
            <w:pPr>
              <w:pStyle w:val="21"/>
              <w:spacing w:line="240" w:lineRule="auto"/>
              <w:jc w:val="left"/>
              <w:rPr>
                <w:rFonts w:cs="Times New Roman"/>
                <w:lang w:val="en-US"/>
              </w:rPr>
            </w:pPr>
            <w:r>
              <w:rPr>
                <w:rFonts w:cs="Times New Roman"/>
                <w:lang w:val="en-US"/>
              </w:rPr>
              <w:t>E2人力资源建设情况</w:t>
            </w:r>
          </w:p>
        </w:tc>
        <w:tc>
          <w:tcPr>
            <w:tcW w:w="502" w:type="pct"/>
            <w:tcMar>
              <w:top w:w="15" w:type="dxa"/>
              <w:left w:w="15" w:type="dxa"/>
              <w:right w:w="15" w:type="dxa"/>
            </w:tcMar>
            <w:vAlign w:val="center"/>
          </w:tcPr>
          <w:p w14:paraId="33CA084B">
            <w:pPr>
              <w:pStyle w:val="21"/>
              <w:spacing w:line="240" w:lineRule="auto"/>
              <w:jc w:val="left"/>
              <w:rPr>
                <w:rFonts w:cs="Times New Roman"/>
                <w:lang w:val="en-US"/>
              </w:rPr>
            </w:pPr>
            <w:r>
              <w:rPr>
                <w:rFonts w:cs="Times New Roman"/>
                <w:lang w:val="en-US"/>
              </w:rPr>
              <w:t>E21教师继续教育合格率</w:t>
            </w:r>
          </w:p>
        </w:tc>
        <w:tc>
          <w:tcPr>
            <w:tcW w:w="355" w:type="pct"/>
            <w:tcMar>
              <w:top w:w="15" w:type="dxa"/>
              <w:left w:w="15" w:type="dxa"/>
              <w:right w:w="15" w:type="dxa"/>
            </w:tcMar>
            <w:vAlign w:val="center"/>
          </w:tcPr>
          <w:p w14:paraId="2541F459">
            <w:pPr>
              <w:pStyle w:val="21"/>
              <w:spacing w:line="240" w:lineRule="auto"/>
              <w:rPr>
                <w:rFonts w:cs="Times New Roman"/>
                <w:lang w:val="en-US"/>
              </w:rPr>
            </w:pPr>
            <w:r>
              <w:rPr>
                <w:rFonts w:cs="Times New Roman"/>
                <w:lang w:val="en-US"/>
              </w:rPr>
              <w:t>100%</w:t>
            </w:r>
          </w:p>
        </w:tc>
        <w:tc>
          <w:tcPr>
            <w:tcW w:w="229" w:type="pct"/>
            <w:tcMar>
              <w:top w:w="15" w:type="dxa"/>
              <w:left w:w="15" w:type="dxa"/>
              <w:right w:w="15" w:type="dxa"/>
            </w:tcMar>
            <w:vAlign w:val="center"/>
          </w:tcPr>
          <w:p w14:paraId="5B2F5E14">
            <w:pPr>
              <w:pStyle w:val="21"/>
              <w:spacing w:line="240" w:lineRule="auto"/>
              <w:rPr>
                <w:rFonts w:cs="Times New Roman"/>
                <w:lang w:val="en-US"/>
              </w:rPr>
            </w:pPr>
            <w:r>
              <w:rPr>
                <w:rFonts w:cs="Times New Roman"/>
                <w:lang w:val="en-US"/>
              </w:rPr>
              <w:t>3</w:t>
            </w:r>
          </w:p>
        </w:tc>
        <w:tc>
          <w:tcPr>
            <w:tcW w:w="1020" w:type="pct"/>
            <w:tcMar>
              <w:top w:w="15" w:type="dxa"/>
              <w:left w:w="15" w:type="dxa"/>
              <w:right w:w="15" w:type="dxa"/>
            </w:tcMar>
            <w:vAlign w:val="center"/>
          </w:tcPr>
          <w:p w14:paraId="07DAE9C8">
            <w:pPr>
              <w:pStyle w:val="21"/>
              <w:spacing w:line="240" w:lineRule="auto"/>
              <w:jc w:val="left"/>
              <w:rPr>
                <w:rFonts w:cs="Times New Roman"/>
              </w:rPr>
            </w:pPr>
            <w:r>
              <w:rPr>
                <w:rFonts w:cs="Times New Roman"/>
              </w:rPr>
              <w:t>考察教师继续教育情况</w:t>
            </w:r>
          </w:p>
        </w:tc>
        <w:tc>
          <w:tcPr>
            <w:tcW w:w="1236" w:type="pct"/>
            <w:tcMar>
              <w:top w:w="15" w:type="dxa"/>
              <w:left w:w="15" w:type="dxa"/>
              <w:right w:w="15" w:type="dxa"/>
            </w:tcMar>
            <w:vAlign w:val="center"/>
          </w:tcPr>
          <w:p w14:paraId="1CDB7052">
            <w:pPr>
              <w:pStyle w:val="21"/>
              <w:spacing w:line="240" w:lineRule="auto"/>
              <w:jc w:val="left"/>
              <w:rPr>
                <w:rFonts w:cs="Times New Roman"/>
                <w:lang w:val="en-US"/>
              </w:rPr>
            </w:pPr>
            <w:r>
              <w:rPr>
                <w:rFonts w:cs="Times New Roman"/>
                <w:lang w:val="en-US"/>
              </w:rPr>
              <w:t>达到目标值得满分，每低于目标值1人次，扣1分，扣完为止。</w:t>
            </w:r>
          </w:p>
        </w:tc>
        <w:tc>
          <w:tcPr>
            <w:tcW w:w="340" w:type="pct"/>
            <w:tcMar>
              <w:top w:w="15" w:type="dxa"/>
              <w:left w:w="15" w:type="dxa"/>
              <w:right w:w="15" w:type="dxa"/>
            </w:tcMar>
            <w:vAlign w:val="center"/>
          </w:tcPr>
          <w:p w14:paraId="25323558">
            <w:pPr>
              <w:pStyle w:val="21"/>
              <w:spacing w:line="240" w:lineRule="auto"/>
              <w:rPr>
                <w:rFonts w:hint="default" w:eastAsia="仿宋_GB2312" w:cs="Times New Roman"/>
                <w:lang w:val="en-US" w:eastAsia="zh-CN"/>
              </w:rPr>
            </w:pPr>
            <w:r>
              <w:rPr>
                <w:rFonts w:hint="eastAsia" w:cs="Times New Roman"/>
                <w:lang w:val="en-US" w:eastAsia="zh-CN"/>
              </w:rPr>
              <w:t>100%</w:t>
            </w:r>
          </w:p>
        </w:tc>
        <w:tc>
          <w:tcPr>
            <w:tcW w:w="319" w:type="pct"/>
            <w:tcMar>
              <w:top w:w="15" w:type="dxa"/>
              <w:left w:w="15" w:type="dxa"/>
              <w:right w:w="15" w:type="dxa"/>
            </w:tcMar>
            <w:vAlign w:val="center"/>
          </w:tcPr>
          <w:p w14:paraId="3DE57F89">
            <w:pPr>
              <w:pStyle w:val="21"/>
              <w:spacing w:line="240" w:lineRule="auto"/>
              <w:rPr>
                <w:rFonts w:cs="Times New Roman"/>
                <w:lang w:val="en-US"/>
              </w:rPr>
            </w:pPr>
            <w:r>
              <w:rPr>
                <w:rFonts w:cs="Times New Roman"/>
                <w:lang w:val="en-US"/>
              </w:rPr>
              <w:t>3</w:t>
            </w:r>
          </w:p>
        </w:tc>
        <w:tc>
          <w:tcPr>
            <w:tcW w:w="319" w:type="pct"/>
            <w:tcMar>
              <w:top w:w="15" w:type="dxa"/>
              <w:left w:w="15" w:type="dxa"/>
              <w:right w:w="15" w:type="dxa"/>
            </w:tcMar>
            <w:vAlign w:val="center"/>
          </w:tcPr>
          <w:p w14:paraId="25135775">
            <w:pPr>
              <w:pStyle w:val="21"/>
              <w:spacing w:line="240" w:lineRule="auto"/>
              <w:rPr>
                <w:rFonts w:cs="Times New Roman"/>
                <w:lang w:val="en-US"/>
              </w:rPr>
            </w:pPr>
          </w:p>
        </w:tc>
      </w:tr>
      <w:tr w14:paraId="5100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295" w:type="pct"/>
            <w:vMerge w:val="continue"/>
            <w:tcMar>
              <w:top w:w="15" w:type="dxa"/>
              <w:left w:w="15" w:type="dxa"/>
              <w:right w:w="15" w:type="dxa"/>
            </w:tcMar>
            <w:vAlign w:val="center"/>
          </w:tcPr>
          <w:p w14:paraId="32456048">
            <w:pPr>
              <w:pStyle w:val="21"/>
              <w:spacing w:line="240" w:lineRule="auto"/>
              <w:jc w:val="left"/>
              <w:rPr>
                <w:rFonts w:cs="Times New Roman"/>
                <w:lang w:val="en-US"/>
              </w:rPr>
            </w:pPr>
          </w:p>
        </w:tc>
        <w:tc>
          <w:tcPr>
            <w:tcW w:w="379" w:type="pct"/>
            <w:vMerge w:val="continue"/>
            <w:tcMar>
              <w:top w:w="15" w:type="dxa"/>
              <w:left w:w="15" w:type="dxa"/>
              <w:right w:w="15" w:type="dxa"/>
            </w:tcMar>
            <w:vAlign w:val="center"/>
          </w:tcPr>
          <w:p w14:paraId="593A2750">
            <w:pPr>
              <w:pStyle w:val="21"/>
              <w:spacing w:line="240" w:lineRule="auto"/>
              <w:jc w:val="left"/>
              <w:rPr>
                <w:rFonts w:cs="Times New Roman"/>
                <w:lang w:val="en-US"/>
              </w:rPr>
            </w:pPr>
          </w:p>
        </w:tc>
        <w:tc>
          <w:tcPr>
            <w:tcW w:w="502" w:type="pct"/>
            <w:tcMar>
              <w:top w:w="15" w:type="dxa"/>
              <w:left w:w="15" w:type="dxa"/>
              <w:right w:w="15" w:type="dxa"/>
            </w:tcMar>
            <w:vAlign w:val="center"/>
          </w:tcPr>
          <w:p w14:paraId="5626EDE4">
            <w:pPr>
              <w:pStyle w:val="21"/>
              <w:spacing w:line="240" w:lineRule="auto"/>
              <w:jc w:val="left"/>
              <w:rPr>
                <w:rFonts w:cs="Times New Roman"/>
                <w:lang w:val="en-US"/>
              </w:rPr>
            </w:pPr>
            <w:r>
              <w:rPr>
                <w:rFonts w:cs="Times New Roman"/>
                <w:lang w:val="en-US"/>
              </w:rPr>
              <w:t>E22职工参加培训人次</w:t>
            </w:r>
          </w:p>
        </w:tc>
        <w:tc>
          <w:tcPr>
            <w:tcW w:w="355" w:type="pct"/>
            <w:tcMar>
              <w:top w:w="15" w:type="dxa"/>
              <w:left w:w="15" w:type="dxa"/>
              <w:right w:w="15" w:type="dxa"/>
            </w:tcMar>
            <w:vAlign w:val="center"/>
          </w:tcPr>
          <w:p w14:paraId="37038816">
            <w:pPr>
              <w:pStyle w:val="21"/>
              <w:spacing w:line="240" w:lineRule="auto"/>
              <w:rPr>
                <w:rFonts w:cs="Times New Roman"/>
                <w:lang w:val="en-US"/>
              </w:rPr>
            </w:pPr>
            <w:r>
              <w:rPr>
                <w:rFonts w:cs="Times New Roman"/>
                <w:lang w:val="en-US"/>
              </w:rPr>
              <w:t>&gt;=10</w:t>
            </w:r>
          </w:p>
        </w:tc>
        <w:tc>
          <w:tcPr>
            <w:tcW w:w="229" w:type="pct"/>
            <w:tcMar>
              <w:top w:w="15" w:type="dxa"/>
              <w:left w:w="15" w:type="dxa"/>
              <w:right w:w="15" w:type="dxa"/>
            </w:tcMar>
            <w:vAlign w:val="center"/>
          </w:tcPr>
          <w:p w14:paraId="7D30AFDA">
            <w:pPr>
              <w:pStyle w:val="21"/>
              <w:spacing w:line="240" w:lineRule="auto"/>
              <w:rPr>
                <w:rFonts w:cs="Times New Roman"/>
                <w:lang w:val="en-US"/>
              </w:rPr>
            </w:pPr>
            <w:r>
              <w:rPr>
                <w:rFonts w:cs="Times New Roman"/>
                <w:lang w:val="en-US"/>
              </w:rPr>
              <w:t>2</w:t>
            </w:r>
          </w:p>
        </w:tc>
        <w:tc>
          <w:tcPr>
            <w:tcW w:w="1020" w:type="pct"/>
            <w:tcMar>
              <w:top w:w="15" w:type="dxa"/>
              <w:left w:w="15" w:type="dxa"/>
              <w:right w:w="15" w:type="dxa"/>
            </w:tcMar>
            <w:vAlign w:val="center"/>
          </w:tcPr>
          <w:p w14:paraId="7B0511FA">
            <w:pPr>
              <w:pStyle w:val="21"/>
              <w:spacing w:line="240" w:lineRule="auto"/>
              <w:jc w:val="left"/>
              <w:rPr>
                <w:rFonts w:cs="Times New Roman"/>
                <w:lang w:val="en-US"/>
              </w:rPr>
            </w:pPr>
            <w:r>
              <w:rPr>
                <w:rFonts w:cs="Times New Roman"/>
                <w:lang w:val="en-US"/>
              </w:rPr>
              <w:t>考察人才培养情况</w:t>
            </w:r>
          </w:p>
        </w:tc>
        <w:tc>
          <w:tcPr>
            <w:tcW w:w="1236" w:type="pct"/>
            <w:tcMar>
              <w:top w:w="15" w:type="dxa"/>
              <w:left w:w="15" w:type="dxa"/>
              <w:right w:w="15" w:type="dxa"/>
            </w:tcMar>
            <w:vAlign w:val="center"/>
          </w:tcPr>
          <w:p w14:paraId="6C8FC67C">
            <w:pPr>
              <w:pStyle w:val="21"/>
              <w:spacing w:line="240" w:lineRule="auto"/>
              <w:jc w:val="left"/>
              <w:rPr>
                <w:rFonts w:cs="Times New Roman"/>
                <w:lang w:val="en-US"/>
              </w:rPr>
            </w:pPr>
            <w:r>
              <w:rPr>
                <w:rFonts w:cs="Times New Roman"/>
                <w:lang w:val="en-US"/>
              </w:rPr>
              <w:t>达到目标值的满分，每低于目标值1人次，扣1分，扣完为止。</w:t>
            </w:r>
          </w:p>
        </w:tc>
        <w:tc>
          <w:tcPr>
            <w:tcW w:w="340" w:type="pct"/>
            <w:tcMar>
              <w:top w:w="15" w:type="dxa"/>
              <w:left w:w="15" w:type="dxa"/>
              <w:right w:w="15" w:type="dxa"/>
            </w:tcMar>
            <w:vAlign w:val="center"/>
          </w:tcPr>
          <w:p w14:paraId="4C2D5339">
            <w:pPr>
              <w:pStyle w:val="21"/>
              <w:spacing w:line="240" w:lineRule="auto"/>
              <w:rPr>
                <w:rFonts w:hint="default" w:eastAsia="仿宋_GB2312" w:cs="Times New Roman"/>
                <w:lang w:val="en-US" w:eastAsia="zh-CN"/>
              </w:rPr>
            </w:pPr>
            <w:r>
              <w:rPr>
                <w:rFonts w:hint="eastAsia" w:cs="Times New Roman"/>
                <w:lang w:val="en-US" w:eastAsia="zh-CN"/>
              </w:rPr>
              <w:t>90</w:t>
            </w:r>
          </w:p>
        </w:tc>
        <w:tc>
          <w:tcPr>
            <w:tcW w:w="319" w:type="pct"/>
            <w:tcMar>
              <w:top w:w="15" w:type="dxa"/>
              <w:left w:w="15" w:type="dxa"/>
              <w:right w:w="15" w:type="dxa"/>
            </w:tcMar>
            <w:vAlign w:val="center"/>
          </w:tcPr>
          <w:p w14:paraId="3996B4AB">
            <w:pPr>
              <w:pStyle w:val="21"/>
              <w:spacing w:line="240" w:lineRule="auto"/>
              <w:rPr>
                <w:rFonts w:cs="Times New Roman"/>
                <w:lang w:val="en-US"/>
              </w:rPr>
            </w:pPr>
            <w:r>
              <w:rPr>
                <w:rFonts w:cs="Times New Roman"/>
                <w:lang w:val="en-US"/>
              </w:rPr>
              <w:t>2</w:t>
            </w:r>
          </w:p>
        </w:tc>
        <w:tc>
          <w:tcPr>
            <w:tcW w:w="319" w:type="pct"/>
            <w:tcMar>
              <w:top w:w="15" w:type="dxa"/>
              <w:left w:w="15" w:type="dxa"/>
              <w:right w:w="15" w:type="dxa"/>
            </w:tcMar>
            <w:vAlign w:val="center"/>
          </w:tcPr>
          <w:p w14:paraId="3FC8C371">
            <w:pPr>
              <w:pStyle w:val="21"/>
              <w:spacing w:line="240" w:lineRule="auto"/>
              <w:rPr>
                <w:rFonts w:cs="Times New Roman"/>
                <w:lang w:val="en-US"/>
              </w:rPr>
            </w:pPr>
          </w:p>
        </w:tc>
      </w:tr>
      <w:tr w14:paraId="7EDB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restart"/>
            <w:tcMar>
              <w:top w:w="15" w:type="dxa"/>
              <w:left w:w="15" w:type="dxa"/>
              <w:right w:w="15" w:type="dxa"/>
            </w:tcMar>
            <w:vAlign w:val="center"/>
          </w:tcPr>
          <w:p w14:paraId="071DAF35">
            <w:pPr>
              <w:pStyle w:val="21"/>
              <w:spacing w:line="240" w:lineRule="auto"/>
              <w:jc w:val="left"/>
              <w:rPr>
                <w:rFonts w:cs="Times New Roman"/>
              </w:rPr>
            </w:pPr>
            <w:r>
              <w:rPr>
                <w:rFonts w:cs="Times New Roman"/>
                <w:lang w:val="en-US"/>
              </w:rPr>
              <w:t>F加减分项（≤5分）</w:t>
            </w:r>
          </w:p>
        </w:tc>
        <w:tc>
          <w:tcPr>
            <w:tcW w:w="379" w:type="pct"/>
            <w:tcMar>
              <w:top w:w="15" w:type="dxa"/>
              <w:left w:w="15" w:type="dxa"/>
              <w:right w:w="15" w:type="dxa"/>
            </w:tcMar>
            <w:vAlign w:val="center"/>
          </w:tcPr>
          <w:p w14:paraId="63FA8338">
            <w:pPr>
              <w:pStyle w:val="21"/>
              <w:spacing w:line="240" w:lineRule="auto"/>
              <w:jc w:val="left"/>
              <w:rPr>
                <w:rFonts w:cs="Times New Roman"/>
              </w:rPr>
            </w:pPr>
            <w:r>
              <w:rPr>
                <w:rFonts w:cs="Times New Roman"/>
                <w:lang w:val="en-US"/>
              </w:rPr>
              <w:t>F1加分项</w:t>
            </w:r>
          </w:p>
        </w:tc>
        <w:tc>
          <w:tcPr>
            <w:tcW w:w="502" w:type="pct"/>
            <w:tcMar>
              <w:top w:w="15" w:type="dxa"/>
              <w:left w:w="15" w:type="dxa"/>
              <w:right w:w="15" w:type="dxa"/>
            </w:tcMar>
            <w:vAlign w:val="center"/>
          </w:tcPr>
          <w:p w14:paraId="64DB4B08">
            <w:pPr>
              <w:pStyle w:val="21"/>
              <w:spacing w:line="240" w:lineRule="auto"/>
              <w:jc w:val="left"/>
              <w:rPr>
                <w:rFonts w:cs="Times New Roman"/>
              </w:rPr>
            </w:pPr>
          </w:p>
        </w:tc>
        <w:tc>
          <w:tcPr>
            <w:tcW w:w="355" w:type="pct"/>
            <w:tcMar>
              <w:top w:w="15" w:type="dxa"/>
              <w:left w:w="15" w:type="dxa"/>
              <w:right w:w="15" w:type="dxa"/>
            </w:tcMar>
            <w:vAlign w:val="center"/>
          </w:tcPr>
          <w:p w14:paraId="7CF654A4">
            <w:pPr>
              <w:pStyle w:val="21"/>
              <w:spacing w:line="240" w:lineRule="auto"/>
              <w:rPr>
                <w:rFonts w:cs="Times New Roman"/>
                <w:lang w:val="en-US"/>
              </w:rPr>
            </w:pPr>
            <w:r>
              <w:rPr>
                <w:rFonts w:cs="Times New Roman"/>
                <w:lang w:val="en-US"/>
              </w:rPr>
              <w:t>N次</w:t>
            </w:r>
          </w:p>
        </w:tc>
        <w:tc>
          <w:tcPr>
            <w:tcW w:w="229" w:type="pct"/>
            <w:tcMar>
              <w:top w:w="15" w:type="dxa"/>
              <w:left w:w="15" w:type="dxa"/>
              <w:right w:w="15" w:type="dxa"/>
            </w:tcMar>
            <w:vAlign w:val="center"/>
          </w:tcPr>
          <w:p w14:paraId="02306986">
            <w:pPr>
              <w:pStyle w:val="21"/>
              <w:spacing w:line="240" w:lineRule="auto"/>
              <w:rPr>
                <w:rFonts w:cs="Times New Roman"/>
              </w:rPr>
            </w:pPr>
            <w:r>
              <w:rPr>
                <w:rFonts w:cs="Times New Roman"/>
                <w:lang w:val="en-US"/>
              </w:rPr>
              <w:t>3</w:t>
            </w:r>
          </w:p>
        </w:tc>
        <w:tc>
          <w:tcPr>
            <w:tcW w:w="1020" w:type="pct"/>
            <w:tcMar>
              <w:top w:w="15" w:type="dxa"/>
              <w:left w:w="15" w:type="dxa"/>
              <w:right w:w="15" w:type="dxa"/>
            </w:tcMar>
            <w:vAlign w:val="center"/>
          </w:tcPr>
          <w:p w14:paraId="57AE9E5C">
            <w:pPr>
              <w:pStyle w:val="21"/>
              <w:spacing w:line="240" w:lineRule="auto"/>
              <w:jc w:val="left"/>
              <w:rPr>
                <w:rFonts w:cs="Times New Roman"/>
              </w:rPr>
            </w:pPr>
            <w:r>
              <w:rPr>
                <w:rFonts w:cs="Times New Roman"/>
                <w:lang w:val="en-US"/>
              </w:rPr>
              <w:t>考察部门是否受到国务院、省级、市级嘉奖。</w:t>
            </w:r>
          </w:p>
        </w:tc>
        <w:tc>
          <w:tcPr>
            <w:tcW w:w="1236" w:type="pct"/>
            <w:tcMar>
              <w:top w:w="15" w:type="dxa"/>
              <w:left w:w="15" w:type="dxa"/>
              <w:right w:w="15" w:type="dxa"/>
            </w:tcMar>
            <w:vAlign w:val="center"/>
          </w:tcPr>
          <w:p w14:paraId="39C0FDAB">
            <w:pPr>
              <w:pStyle w:val="21"/>
              <w:spacing w:line="240" w:lineRule="auto"/>
              <w:jc w:val="left"/>
              <w:rPr>
                <w:rFonts w:cs="Times New Roman"/>
              </w:rPr>
            </w:pPr>
            <w:r>
              <w:rPr>
                <w:rFonts w:cs="Times New Roman"/>
                <w:lang w:val="en-US"/>
              </w:rPr>
              <w:t>受到国务院嘉奖加3分，受到省级嘉奖加2分，得到市级考核一等奖加1分，得到市级考核二等奖加0.5分；同一项工作不累计加分</w:t>
            </w:r>
          </w:p>
        </w:tc>
        <w:tc>
          <w:tcPr>
            <w:tcW w:w="340" w:type="pct"/>
            <w:tcMar>
              <w:top w:w="15" w:type="dxa"/>
              <w:left w:w="15" w:type="dxa"/>
              <w:right w:w="15" w:type="dxa"/>
            </w:tcMar>
            <w:vAlign w:val="center"/>
          </w:tcPr>
          <w:p w14:paraId="6B51CB8C">
            <w:pPr>
              <w:pStyle w:val="21"/>
              <w:spacing w:line="240" w:lineRule="auto"/>
              <w:rPr>
                <w:rFonts w:cs="Times New Roman"/>
                <w:lang w:val="en-US"/>
              </w:rPr>
            </w:pPr>
          </w:p>
        </w:tc>
        <w:tc>
          <w:tcPr>
            <w:tcW w:w="319" w:type="pct"/>
            <w:tcMar>
              <w:top w:w="15" w:type="dxa"/>
              <w:left w:w="15" w:type="dxa"/>
              <w:right w:w="15" w:type="dxa"/>
            </w:tcMar>
            <w:vAlign w:val="center"/>
          </w:tcPr>
          <w:p w14:paraId="237FB07C">
            <w:pPr>
              <w:pStyle w:val="21"/>
              <w:spacing w:line="240" w:lineRule="auto"/>
              <w:rPr>
                <w:rFonts w:cs="Times New Roman"/>
                <w:lang w:val="en-US"/>
              </w:rPr>
            </w:pPr>
            <w:r>
              <w:rPr>
                <w:rFonts w:cs="Times New Roman"/>
                <w:lang w:val="en-US"/>
              </w:rPr>
              <w:t>0</w:t>
            </w:r>
          </w:p>
        </w:tc>
        <w:tc>
          <w:tcPr>
            <w:tcW w:w="319" w:type="pct"/>
            <w:tcMar>
              <w:top w:w="15" w:type="dxa"/>
              <w:left w:w="15" w:type="dxa"/>
              <w:right w:w="15" w:type="dxa"/>
            </w:tcMar>
            <w:vAlign w:val="center"/>
          </w:tcPr>
          <w:p w14:paraId="46919CA1">
            <w:pPr>
              <w:pStyle w:val="21"/>
              <w:spacing w:line="240" w:lineRule="auto"/>
              <w:rPr>
                <w:rFonts w:cs="Times New Roman"/>
                <w:lang w:val="en-US"/>
              </w:rPr>
            </w:pPr>
          </w:p>
        </w:tc>
      </w:tr>
      <w:tr w14:paraId="2183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295" w:type="pct"/>
            <w:vMerge w:val="continue"/>
            <w:tcMar>
              <w:top w:w="15" w:type="dxa"/>
              <w:left w:w="15" w:type="dxa"/>
              <w:right w:w="15" w:type="dxa"/>
            </w:tcMar>
            <w:vAlign w:val="center"/>
          </w:tcPr>
          <w:p w14:paraId="1195818C">
            <w:pPr>
              <w:pStyle w:val="21"/>
              <w:spacing w:line="240" w:lineRule="auto"/>
              <w:jc w:val="left"/>
              <w:rPr>
                <w:rFonts w:cs="Times New Roman"/>
              </w:rPr>
            </w:pPr>
          </w:p>
        </w:tc>
        <w:tc>
          <w:tcPr>
            <w:tcW w:w="379" w:type="pct"/>
            <w:tcMar>
              <w:top w:w="15" w:type="dxa"/>
              <w:left w:w="15" w:type="dxa"/>
              <w:right w:w="15" w:type="dxa"/>
            </w:tcMar>
            <w:vAlign w:val="center"/>
          </w:tcPr>
          <w:p w14:paraId="1A7FD6F5">
            <w:pPr>
              <w:pStyle w:val="21"/>
              <w:spacing w:line="240" w:lineRule="auto"/>
              <w:jc w:val="left"/>
              <w:rPr>
                <w:rFonts w:cs="Times New Roman"/>
              </w:rPr>
            </w:pPr>
            <w:r>
              <w:rPr>
                <w:rFonts w:cs="Times New Roman"/>
                <w:lang w:val="en-US"/>
              </w:rPr>
              <w:t>F2减分项</w:t>
            </w:r>
          </w:p>
        </w:tc>
        <w:tc>
          <w:tcPr>
            <w:tcW w:w="502" w:type="pct"/>
            <w:noWrap/>
            <w:tcMar>
              <w:top w:w="15" w:type="dxa"/>
              <w:left w:w="15" w:type="dxa"/>
              <w:right w:w="15" w:type="dxa"/>
            </w:tcMar>
            <w:vAlign w:val="center"/>
          </w:tcPr>
          <w:p w14:paraId="1B82EBB2">
            <w:pPr>
              <w:pStyle w:val="21"/>
              <w:spacing w:line="240" w:lineRule="auto"/>
              <w:jc w:val="left"/>
              <w:rPr>
                <w:rFonts w:cs="Times New Roman"/>
              </w:rPr>
            </w:pPr>
          </w:p>
        </w:tc>
        <w:tc>
          <w:tcPr>
            <w:tcW w:w="355" w:type="pct"/>
            <w:noWrap/>
            <w:tcMar>
              <w:top w:w="15" w:type="dxa"/>
              <w:left w:w="15" w:type="dxa"/>
              <w:right w:w="15" w:type="dxa"/>
            </w:tcMar>
            <w:vAlign w:val="center"/>
          </w:tcPr>
          <w:p w14:paraId="316F8ECB">
            <w:pPr>
              <w:pStyle w:val="21"/>
              <w:spacing w:line="240" w:lineRule="auto"/>
              <w:rPr>
                <w:rFonts w:cs="Times New Roman"/>
              </w:rPr>
            </w:pPr>
            <w:r>
              <w:rPr>
                <w:rFonts w:cs="Times New Roman"/>
                <w:lang w:val="en-US"/>
              </w:rPr>
              <w:t>0次</w:t>
            </w:r>
          </w:p>
        </w:tc>
        <w:tc>
          <w:tcPr>
            <w:tcW w:w="229" w:type="pct"/>
            <w:noWrap/>
            <w:tcMar>
              <w:top w:w="15" w:type="dxa"/>
              <w:left w:w="15" w:type="dxa"/>
              <w:right w:w="15" w:type="dxa"/>
            </w:tcMar>
            <w:vAlign w:val="center"/>
          </w:tcPr>
          <w:p w14:paraId="1A244054">
            <w:pPr>
              <w:pStyle w:val="21"/>
              <w:spacing w:line="240" w:lineRule="auto"/>
              <w:rPr>
                <w:rFonts w:cs="Times New Roman"/>
              </w:rPr>
            </w:pPr>
            <w:r>
              <w:rPr>
                <w:rFonts w:cs="Times New Roman"/>
                <w:lang w:val="en-US"/>
              </w:rPr>
              <w:t>2</w:t>
            </w:r>
          </w:p>
        </w:tc>
        <w:tc>
          <w:tcPr>
            <w:tcW w:w="1020" w:type="pct"/>
            <w:tcMar>
              <w:top w:w="15" w:type="dxa"/>
              <w:left w:w="15" w:type="dxa"/>
              <w:right w:w="15" w:type="dxa"/>
            </w:tcMar>
            <w:vAlign w:val="center"/>
          </w:tcPr>
          <w:p w14:paraId="48890140">
            <w:pPr>
              <w:pStyle w:val="21"/>
              <w:spacing w:line="240" w:lineRule="auto"/>
              <w:jc w:val="left"/>
              <w:rPr>
                <w:rFonts w:cs="Times New Roman"/>
              </w:rPr>
            </w:pPr>
            <w:r>
              <w:rPr>
                <w:rFonts w:cs="Times New Roman"/>
                <w:lang w:val="en-US"/>
              </w:rPr>
              <w:t>考察部门或工作人员有无违法违纪行为。</w:t>
            </w:r>
          </w:p>
        </w:tc>
        <w:tc>
          <w:tcPr>
            <w:tcW w:w="1236" w:type="pct"/>
            <w:tcMar>
              <w:top w:w="15" w:type="dxa"/>
              <w:left w:w="15" w:type="dxa"/>
              <w:right w:w="15" w:type="dxa"/>
            </w:tcMar>
            <w:vAlign w:val="center"/>
          </w:tcPr>
          <w:p w14:paraId="68B32A2A">
            <w:pPr>
              <w:pStyle w:val="21"/>
              <w:spacing w:line="240" w:lineRule="auto"/>
              <w:jc w:val="left"/>
              <w:rPr>
                <w:rFonts w:cs="Times New Roman"/>
              </w:rPr>
            </w:pPr>
            <w:r>
              <w:rPr>
                <w:rFonts w:cs="Times New Roman"/>
                <w:lang w:val="en-US"/>
              </w:rPr>
              <w:t>符合得对应权重分，否则不得分。</w:t>
            </w:r>
          </w:p>
        </w:tc>
        <w:tc>
          <w:tcPr>
            <w:tcW w:w="340" w:type="pct"/>
            <w:tcMar>
              <w:top w:w="15" w:type="dxa"/>
              <w:left w:w="15" w:type="dxa"/>
              <w:right w:w="15" w:type="dxa"/>
            </w:tcMar>
            <w:vAlign w:val="center"/>
          </w:tcPr>
          <w:p w14:paraId="58435D90">
            <w:pPr>
              <w:pStyle w:val="21"/>
              <w:spacing w:line="240" w:lineRule="auto"/>
              <w:rPr>
                <w:rFonts w:cs="Times New Roman"/>
                <w:lang w:val="en-US"/>
              </w:rPr>
            </w:pPr>
          </w:p>
        </w:tc>
        <w:tc>
          <w:tcPr>
            <w:tcW w:w="319" w:type="pct"/>
            <w:tcMar>
              <w:top w:w="15" w:type="dxa"/>
              <w:left w:w="15" w:type="dxa"/>
              <w:right w:w="15" w:type="dxa"/>
            </w:tcMar>
            <w:vAlign w:val="center"/>
          </w:tcPr>
          <w:p w14:paraId="345F154D">
            <w:pPr>
              <w:pStyle w:val="21"/>
              <w:spacing w:line="240" w:lineRule="auto"/>
              <w:rPr>
                <w:rFonts w:cs="Times New Roman"/>
                <w:lang w:val="en-US"/>
              </w:rPr>
            </w:pPr>
            <w:r>
              <w:rPr>
                <w:rFonts w:cs="Times New Roman"/>
                <w:lang w:val="en-US"/>
              </w:rPr>
              <w:t>0</w:t>
            </w:r>
          </w:p>
        </w:tc>
        <w:tc>
          <w:tcPr>
            <w:tcW w:w="319" w:type="pct"/>
            <w:tcMar>
              <w:top w:w="15" w:type="dxa"/>
              <w:left w:w="15" w:type="dxa"/>
              <w:right w:w="15" w:type="dxa"/>
            </w:tcMar>
            <w:vAlign w:val="center"/>
          </w:tcPr>
          <w:p w14:paraId="6D80CBEC">
            <w:pPr>
              <w:pStyle w:val="21"/>
              <w:spacing w:line="240" w:lineRule="auto"/>
              <w:rPr>
                <w:rFonts w:cs="Times New Roman"/>
                <w:lang w:val="en-US"/>
              </w:rPr>
            </w:pPr>
          </w:p>
        </w:tc>
      </w:tr>
      <w:tr w14:paraId="2855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4020" w:type="pct"/>
            <w:gridSpan w:val="7"/>
            <w:tcMar>
              <w:top w:w="15" w:type="dxa"/>
              <w:left w:w="15" w:type="dxa"/>
              <w:right w:w="15" w:type="dxa"/>
            </w:tcMar>
            <w:vAlign w:val="center"/>
          </w:tcPr>
          <w:p w14:paraId="328B0299">
            <w:pPr>
              <w:pStyle w:val="21"/>
              <w:spacing w:line="240" w:lineRule="auto"/>
              <w:rPr>
                <w:rFonts w:cs="Times New Roman"/>
                <w:lang w:val="en-US"/>
              </w:rPr>
            </w:pPr>
            <w:r>
              <w:rPr>
                <w:rFonts w:cs="Times New Roman"/>
                <w:lang w:val="en-US"/>
              </w:rPr>
              <w:t>总得分</w:t>
            </w:r>
            <w:bookmarkStart w:id="3" w:name="_GoBack"/>
            <w:bookmarkEnd w:id="3"/>
          </w:p>
        </w:tc>
        <w:tc>
          <w:tcPr>
            <w:tcW w:w="340" w:type="pct"/>
            <w:tcMar>
              <w:top w:w="15" w:type="dxa"/>
              <w:left w:w="15" w:type="dxa"/>
              <w:right w:w="15" w:type="dxa"/>
            </w:tcMar>
            <w:vAlign w:val="center"/>
          </w:tcPr>
          <w:p w14:paraId="4B74B409">
            <w:pPr>
              <w:pStyle w:val="21"/>
              <w:spacing w:line="240" w:lineRule="auto"/>
              <w:rPr>
                <w:rFonts w:hint="eastAsia" w:cs="Times New Roman"/>
                <w:lang w:val="en-US" w:eastAsia="zh-CN"/>
              </w:rPr>
            </w:pPr>
          </w:p>
        </w:tc>
        <w:tc>
          <w:tcPr>
            <w:tcW w:w="319" w:type="pct"/>
            <w:tcMar>
              <w:top w:w="15" w:type="dxa"/>
              <w:left w:w="15" w:type="dxa"/>
              <w:right w:w="15" w:type="dxa"/>
            </w:tcMar>
            <w:vAlign w:val="center"/>
          </w:tcPr>
          <w:p w14:paraId="59F83C7F">
            <w:pPr>
              <w:pStyle w:val="21"/>
              <w:spacing w:line="240" w:lineRule="auto"/>
              <w:rPr>
                <w:rFonts w:hint="default" w:eastAsia="仿宋_GB2312" w:cs="Times New Roman"/>
                <w:lang w:val="en-US" w:eastAsia="zh-CN"/>
              </w:rPr>
            </w:pPr>
            <w:r>
              <w:rPr>
                <w:rFonts w:hint="eastAsia" w:cs="Times New Roman"/>
                <w:lang w:val="en-US" w:eastAsia="zh-CN"/>
              </w:rPr>
              <w:t>97.88</w:t>
            </w:r>
          </w:p>
        </w:tc>
        <w:tc>
          <w:tcPr>
            <w:tcW w:w="319" w:type="pct"/>
            <w:tcMar>
              <w:top w:w="15" w:type="dxa"/>
              <w:left w:w="15" w:type="dxa"/>
              <w:right w:w="15" w:type="dxa"/>
            </w:tcMar>
            <w:vAlign w:val="center"/>
          </w:tcPr>
          <w:p w14:paraId="21261C9A">
            <w:pPr>
              <w:pStyle w:val="21"/>
              <w:spacing w:line="240" w:lineRule="auto"/>
              <w:rPr>
                <w:rFonts w:hint="eastAsia" w:cs="Times New Roman"/>
                <w:lang w:val="en-US" w:eastAsia="zh-CN"/>
              </w:rPr>
            </w:pPr>
          </w:p>
        </w:tc>
      </w:tr>
      <w:bookmarkEnd w:id="1"/>
      <w:bookmarkEnd w:id="2"/>
    </w:tbl>
    <w:p w14:paraId="16DF7D9F">
      <w:pPr>
        <w:ind w:right="960"/>
        <w:rPr>
          <w:rFonts w:ascii="Times New Roman" w:hAnsi="Times New Roman" w:eastAsia="仿宋_GB2312" w:cs="Times New Roman"/>
          <w:color w:val="000000"/>
          <w:kern w:val="0"/>
          <w:sz w:val="32"/>
          <w:szCs w:val="32"/>
        </w:rPr>
      </w:pPr>
    </w:p>
    <w:sectPr>
      <w:pgSz w:w="16838" w:h="11906" w:orient="landscape"/>
      <w:pgMar w:top="1587" w:right="1587" w:bottom="1587"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AF3A">
    <w:pPr>
      <w:pStyle w:val="8"/>
      <w:jc w:val="center"/>
      <w:rPr>
        <w:rFonts w:ascii="黑体" w:hAnsi="黑体" w:eastAsia="黑体" w:cs="黑体"/>
      </w:rPr>
    </w:pPr>
    <w:r>
      <w:rPr>
        <w:rFonts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20150">
                          <w:pPr>
                            <w:pStyle w:val="8"/>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E520150">
                    <w:pPr>
                      <w:pStyle w:val="8"/>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42A46"/>
    <w:multiLevelType w:val="singleLevel"/>
    <w:tmpl w:val="AA042A46"/>
    <w:lvl w:ilvl="0" w:tentative="0">
      <w:start w:val="4"/>
      <w:numFmt w:val="chineseCounting"/>
      <w:suff w:val="nothing"/>
      <w:lvlText w:val="%1、"/>
      <w:lvlJc w:val="left"/>
      <w:rPr>
        <w:rFonts w:hint="eastAsia" w:ascii="黑体" w:hAnsi="黑体" w:eastAsia="黑体" w:cs="黑体"/>
      </w:rPr>
    </w:lvl>
  </w:abstractNum>
  <w:abstractNum w:abstractNumId="1">
    <w:nsid w:val="F6002EFE"/>
    <w:multiLevelType w:val="singleLevel"/>
    <w:tmpl w:val="F6002EFE"/>
    <w:lvl w:ilvl="0" w:tentative="0">
      <w:start w:val="2"/>
      <w:numFmt w:val="chineseCounting"/>
      <w:suff w:val="nothing"/>
      <w:lvlText w:val="（%1）"/>
      <w:lvlJc w:val="left"/>
      <w:rPr>
        <w:rFonts w:hint="eastAsia"/>
      </w:rPr>
    </w:lvl>
  </w:abstractNum>
  <w:abstractNum w:abstractNumId="2">
    <w:nsid w:val="36721E10"/>
    <w:multiLevelType w:val="singleLevel"/>
    <w:tmpl w:val="36721E10"/>
    <w:lvl w:ilvl="0" w:tentative="0">
      <w:start w:val="5"/>
      <w:numFmt w:val="chineseCounting"/>
      <w:suff w:val="nothing"/>
      <w:lvlText w:val="%1、"/>
      <w:lvlJc w:val="left"/>
      <w:rPr>
        <w:rFonts w:hint="eastAsia"/>
      </w:rPr>
    </w:lvl>
  </w:abstractNum>
  <w:abstractNum w:abstractNumId="3">
    <w:nsid w:val="610671B8"/>
    <w:multiLevelType w:val="multilevel"/>
    <w:tmpl w:val="610671B8"/>
    <w:lvl w:ilvl="0" w:tentative="0">
      <w:start w:val="1"/>
      <w:numFmt w:val="chineseCountingThousand"/>
      <w:suff w:val="nothing"/>
      <w:lvlText w:val="%1、"/>
      <w:lvlJc w:val="left"/>
      <w:pPr>
        <w:ind w:left="425" w:hanging="425"/>
      </w:pPr>
      <w:rPr>
        <w:rFonts w:hint="eastAsia"/>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19"/>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abstractNum w:abstractNumId="4">
    <w:nsid w:val="678BEBC6"/>
    <w:multiLevelType w:val="singleLevel"/>
    <w:tmpl w:val="678BEBC6"/>
    <w:lvl w:ilvl="0" w:tentative="0">
      <w:start w:val="3"/>
      <w:numFmt w:val="chineseCounting"/>
      <w:suff w:val="nothing"/>
      <w:lvlText w:val="%1、"/>
      <w:lvlJc w:val="left"/>
      <w:rPr>
        <w:rFonts w:hint="eastAsia"/>
      </w:rPr>
    </w:lvl>
  </w:abstractNum>
  <w:abstractNum w:abstractNumId="5">
    <w:nsid w:val="685C2D62"/>
    <w:multiLevelType w:val="singleLevel"/>
    <w:tmpl w:val="685C2D62"/>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MDkxYTUxYjM3N2ZlN2M5NDM2NGVlNWI4YzJmMjUifQ=="/>
  </w:docVars>
  <w:rsids>
    <w:rsidRoot w:val="001A3475"/>
    <w:rsid w:val="00034EA9"/>
    <w:rsid w:val="000659F6"/>
    <w:rsid w:val="000A17DD"/>
    <w:rsid w:val="000B7B46"/>
    <w:rsid w:val="00157004"/>
    <w:rsid w:val="001960CD"/>
    <w:rsid w:val="001A3475"/>
    <w:rsid w:val="001B08E9"/>
    <w:rsid w:val="001E3402"/>
    <w:rsid w:val="001E5424"/>
    <w:rsid w:val="001E794D"/>
    <w:rsid w:val="002574D2"/>
    <w:rsid w:val="00263C7C"/>
    <w:rsid w:val="00275550"/>
    <w:rsid w:val="00286122"/>
    <w:rsid w:val="002C4AFB"/>
    <w:rsid w:val="002E1865"/>
    <w:rsid w:val="002F3D43"/>
    <w:rsid w:val="00315185"/>
    <w:rsid w:val="00325BE0"/>
    <w:rsid w:val="00342AA9"/>
    <w:rsid w:val="00361F72"/>
    <w:rsid w:val="00367636"/>
    <w:rsid w:val="003A52A9"/>
    <w:rsid w:val="003C1C66"/>
    <w:rsid w:val="00400909"/>
    <w:rsid w:val="00416644"/>
    <w:rsid w:val="004218BC"/>
    <w:rsid w:val="00472436"/>
    <w:rsid w:val="0047253A"/>
    <w:rsid w:val="0049099F"/>
    <w:rsid w:val="004E4648"/>
    <w:rsid w:val="00514D34"/>
    <w:rsid w:val="00527F3A"/>
    <w:rsid w:val="00547217"/>
    <w:rsid w:val="005546EE"/>
    <w:rsid w:val="005A4AFB"/>
    <w:rsid w:val="005E41E7"/>
    <w:rsid w:val="005E4D2C"/>
    <w:rsid w:val="005F0C4A"/>
    <w:rsid w:val="0062261D"/>
    <w:rsid w:val="00676CFD"/>
    <w:rsid w:val="00691C63"/>
    <w:rsid w:val="006B470B"/>
    <w:rsid w:val="007012A0"/>
    <w:rsid w:val="00730C61"/>
    <w:rsid w:val="00731748"/>
    <w:rsid w:val="00733E26"/>
    <w:rsid w:val="007552AA"/>
    <w:rsid w:val="0076475A"/>
    <w:rsid w:val="00783809"/>
    <w:rsid w:val="007B2A8C"/>
    <w:rsid w:val="008021B9"/>
    <w:rsid w:val="008052B8"/>
    <w:rsid w:val="00820D24"/>
    <w:rsid w:val="00847A0C"/>
    <w:rsid w:val="00847D29"/>
    <w:rsid w:val="00877C3A"/>
    <w:rsid w:val="008D2D29"/>
    <w:rsid w:val="009B74E8"/>
    <w:rsid w:val="009C79E2"/>
    <w:rsid w:val="009D5D2A"/>
    <w:rsid w:val="00A11003"/>
    <w:rsid w:val="00A14146"/>
    <w:rsid w:val="00A43DF6"/>
    <w:rsid w:val="00A82A5D"/>
    <w:rsid w:val="00A95998"/>
    <w:rsid w:val="00AC2E4B"/>
    <w:rsid w:val="00AC716B"/>
    <w:rsid w:val="00AF74CF"/>
    <w:rsid w:val="00B11451"/>
    <w:rsid w:val="00B2306F"/>
    <w:rsid w:val="00B91D01"/>
    <w:rsid w:val="00BE0BA3"/>
    <w:rsid w:val="00C6266E"/>
    <w:rsid w:val="00CD290E"/>
    <w:rsid w:val="00CE38FA"/>
    <w:rsid w:val="00D1629F"/>
    <w:rsid w:val="00D209E0"/>
    <w:rsid w:val="00D2779E"/>
    <w:rsid w:val="00D820B8"/>
    <w:rsid w:val="00D95F06"/>
    <w:rsid w:val="00DE1913"/>
    <w:rsid w:val="00DE46B4"/>
    <w:rsid w:val="00DF3A37"/>
    <w:rsid w:val="00E240CB"/>
    <w:rsid w:val="00E2747A"/>
    <w:rsid w:val="00E37870"/>
    <w:rsid w:val="00EB24D5"/>
    <w:rsid w:val="00F1384F"/>
    <w:rsid w:val="00F35F00"/>
    <w:rsid w:val="00F41EFC"/>
    <w:rsid w:val="00F742C4"/>
    <w:rsid w:val="00F94A4E"/>
    <w:rsid w:val="00FB4529"/>
    <w:rsid w:val="02B9616A"/>
    <w:rsid w:val="02C5238D"/>
    <w:rsid w:val="03234127"/>
    <w:rsid w:val="033E63EE"/>
    <w:rsid w:val="03847539"/>
    <w:rsid w:val="03C63BDA"/>
    <w:rsid w:val="03CC5357"/>
    <w:rsid w:val="04463754"/>
    <w:rsid w:val="04BF6E3A"/>
    <w:rsid w:val="059C797B"/>
    <w:rsid w:val="0676641E"/>
    <w:rsid w:val="06856661"/>
    <w:rsid w:val="06AB555E"/>
    <w:rsid w:val="0765096C"/>
    <w:rsid w:val="077C4673"/>
    <w:rsid w:val="07E13D6B"/>
    <w:rsid w:val="081759AE"/>
    <w:rsid w:val="082A5712"/>
    <w:rsid w:val="09386F1B"/>
    <w:rsid w:val="09694018"/>
    <w:rsid w:val="0A9E35CE"/>
    <w:rsid w:val="0AC8682D"/>
    <w:rsid w:val="0AD510EF"/>
    <w:rsid w:val="0AD959A5"/>
    <w:rsid w:val="0AF67B2D"/>
    <w:rsid w:val="0B246C97"/>
    <w:rsid w:val="0BBA20CB"/>
    <w:rsid w:val="0BC47C2C"/>
    <w:rsid w:val="0CB3217A"/>
    <w:rsid w:val="0D8D1B39"/>
    <w:rsid w:val="0E083E00"/>
    <w:rsid w:val="0E0A5DCA"/>
    <w:rsid w:val="0E1E1875"/>
    <w:rsid w:val="0F121795"/>
    <w:rsid w:val="0FAB7138"/>
    <w:rsid w:val="0FC32B7B"/>
    <w:rsid w:val="11DA4019"/>
    <w:rsid w:val="124A775B"/>
    <w:rsid w:val="12A856F1"/>
    <w:rsid w:val="12FB1CFF"/>
    <w:rsid w:val="1400023C"/>
    <w:rsid w:val="147815B3"/>
    <w:rsid w:val="14B72C30"/>
    <w:rsid w:val="15273705"/>
    <w:rsid w:val="15A765F4"/>
    <w:rsid w:val="16706B2B"/>
    <w:rsid w:val="167364D6"/>
    <w:rsid w:val="16D924E8"/>
    <w:rsid w:val="1811244B"/>
    <w:rsid w:val="182E2830"/>
    <w:rsid w:val="186D2A5E"/>
    <w:rsid w:val="19044DE0"/>
    <w:rsid w:val="19524AC9"/>
    <w:rsid w:val="19863CE3"/>
    <w:rsid w:val="19AE3CBF"/>
    <w:rsid w:val="1AD46127"/>
    <w:rsid w:val="1AE32EDC"/>
    <w:rsid w:val="1B723200"/>
    <w:rsid w:val="1C2B609F"/>
    <w:rsid w:val="1C6E39C8"/>
    <w:rsid w:val="1CE4297E"/>
    <w:rsid w:val="1D1F2857"/>
    <w:rsid w:val="1E2A6014"/>
    <w:rsid w:val="1E325391"/>
    <w:rsid w:val="1E6A7D22"/>
    <w:rsid w:val="1ED7199B"/>
    <w:rsid w:val="1F417A9E"/>
    <w:rsid w:val="1FA924AD"/>
    <w:rsid w:val="20C2596A"/>
    <w:rsid w:val="210F3872"/>
    <w:rsid w:val="21597C32"/>
    <w:rsid w:val="22631AF5"/>
    <w:rsid w:val="22B867F1"/>
    <w:rsid w:val="22D60519"/>
    <w:rsid w:val="23A11D31"/>
    <w:rsid w:val="23CD5D0C"/>
    <w:rsid w:val="23D5570C"/>
    <w:rsid w:val="23EB684A"/>
    <w:rsid w:val="24A563F4"/>
    <w:rsid w:val="25113A8A"/>
    <w:rsid w:val="251C438A"/>
    <w:rsid w:val="25AE18B6"/>
    <w:rsid w:val="26AA5BD3"/>
    <w:rsid w:val="26E41A63"/>
    <w:rsid w:val="26E647B4"/>
    <w:rsid w:val="289E5635"/>
    <w:rsid w:val="28F11C08"/>
    <w:rsid w:val="29E502CB"/>
    <w:rsid w:val="2A224C2C"/>
    <w:rsid w:val="2B0F2DAE"/>
    <w:rsid w:val="2B32022B"/>
    <w:rsid w:val="2B3D61B8"/>
    <w:rsid w:val="2BC52ED8"/>
    <w:rsid w:val="2C093F4C"/>
    <w:rsid w:val="2C1714BA"/>
    <w:rsid w:val="2C845A42"/>
    <w:rsid w:val="2D8E6458"/>
    <w:rsid w:val="2DB37FA1"/>
    <w:rsid w:val="2DD915D6"/>
    <w:rsid w:val="2E52657F"/>
    <w:rsid w:val="2F3536B3"/>
    <w:rsid w:val="2F5E78CC"/>
    <w:rsid w:val="2F701C22"/>
    <w:rsid w:val="3011493E"/>
    <w:rsid w:val="30202DD3"/>
    <w:rsid w:val="30FA1876"/>
    <w:rsid w:val="31C07711"/>
    <w:rsid w:val="31C93EE5"/>
    <w:rsid w:val="31CD741B"/>
    <w:rsid w:val="332C5F1F"/>
    <w:rsid w:val="33582884"/>
    <w:rsid w:val="33865643"/>
    <w:rsid w:val="33CE26F2"/>
    <w:rsid w:val="33DA09AC"/>
    <w:rsid w:val="34000F51"/>
    <w:rsid w:val="341751D5"/>
    <w:rsid w:val="353A0493"/>
    <w:rsid w:val="35596973"/>
    <w:rsid w:val="35BA7826"/>
    <w:rsid w:val="36341C70"/>
    <w:rsid w:val="36463828"/>
    <w:rsid w:val="36FD2804"/>
    <w:rsid w:val="372720CA"/>
    <w:rsid w:val="37B66159"/>
    <w:rsid w:val="37E5517D"/>
    <w:rsid w:val="39495149"/>
    <w:rsid w:val="396C0F3F"/>
    <w:rsid w:val="39D23390"/>
    <w:rsid w:val="39E9269E"/>
    <w:rsid w:val="3AA617C5"/>
    <w:rsid w:val="3AE07D2F"/>
    <w:rsid w:val="3B424545"/>
    <w:rsid w:val="3B985F13"/>
    <w:rsid w:val="3CF7310E"/>
    <w:rsid w:val="3D170FBF"/>
    <w:rsid w:val="3E04568B"/>
    <w:rsid w:val="3E445FEE"/>
    <w:rsid w:val="3FA7706D"/>
    <w:rsid w:val="3FE91433"/>
    <w:rsid w:val="40363F4D"/>
    <w:rsid w:val="410D2F00"/>
    <w:rsid w:val="41326E0A"/>
    <w:rsid w:val="41A56BB8"/>
    <w:rsid w:val="41EB1389"/>
    <w:rsid w:val="42387D21"/>
    <w:rsid w:val="42823479"/>
    <w:rsid w:val="42AC56B7"/>
    <w:rsid w:val="42B775C7"/>
    <w:rsid w:val="42C83582"/>
    <w:rsid w:val="42E67EAC"/>
    <w:rsid w:val="42F44377"/>
    <w:rsid w:val="43394480"/>
    <w:rsid w:val="434B5F61"/>
    <w:rsid w:val="43686E11"/>
    <w:rsid w:val="43866A77"/>
    <w:rsid w:val="44F05012"/>
    <w:rsid w:val="452F5B3A"/>
    <w:rsid w:val="459C7A87"/>
    <w:rsid w:val="45DD76D9"/>
    <w:rsid w:val="471F2961"/>
    <w:rsid w:val="47751984"/>
    <w:rsid w:val="47A802D8"/>
    <w:rsid w:val="482A48FE"/>
    <w:rsid w:val="48404A00"/>
    <w:rsid w:val="48B735C3"/>
    <w:rsid w:val="48D07B02"/>
    <w:rsid w:val="48D3456D"/>
    <w:rsid w:val="49414082"/>
    <w:rsid w:val="499079B3"/>
    <w:rsid w:val="4A3E468D"/>
    <w:rsid w:val="4AB80560"/>
    <w:rsid w:val="4BF4363A"/>
    <w:rsid w:val="4C2465D9"/>
    <w:rsid w:val="4CC0342B"/>
    <w:rsid w:val="4CDC344B"/>
    <w:rsid w:val="4CDE565F"/>
    <w:rsid w:val="4D3B5350"/>
    <w:rsid w:val="4D5B0F80"/>
    <w:rsid w:val="4E28613F"/>
    <w:rsid w:val="4E801622"/>
    <w:rsid w:val="4EC54E1A"/>
    <w:rsid w:val="4EF4244E"/>
    <w:rsid w:val="4F285328"/>
    <w:rsid w:val="4F406E8E"/>
    <w:rsid w:val="4F6A21B0"/>
    <w:rsid w:val="4F7C5092"/>
    <w:rsid w:val="4FC846A1"/>
    <w:rsid w:val="50720FD1"/>
    <w:rsid w:val="51AC0685"/>
    <w:rsid w:val="51F84A9C"/>
    <w:rsid w:val="521707E9"/>
    <w:rsid w:val="521C7446"/>
    <w:rsid w:val="523C1897"/>
    <w:rsid w:val="52C61160"/>
    <w:rsid w:val="52D95346"/>
    <w:rsid w:val="5394125E"/>
    <w:rsid w:val="54091E43"/>
    <w:rsid w:val="565E627F"/>
    <w:rsid w:val="57170076"/>
    <w:rsid w:val="575314C2"/>
    <w:rsid w:val="575B6049"/>
    <w:rsid w:val="57830862"/>
    <w:rsid w:val="57B15441"/>
    <w:rsid w:val="58562A73"/>
    <w:rsid w:val="58935325"/>
    <w:rsid w:val="59AE3D40"/>
    <w:rsid w:val="5A9009D2"/>
    <w:rsid w:val="5A9658BC"/>
    <w:rsid w:val="5AA24261"/>
    <w:rsid w:val="5AB3646E"/>
    <w:rsid w:val="5B4B303D"/>
    <w:rsid w:val="5B7C4AB2"/>
    <w:rsid w:val="5BD70236"/>
    <w:rsid w:val="5C3D7FF0"/>
    <w:rsid w:val="5CEE4B57"/>
    <w:rsid w:val="5D416129"/>
    <w:rsid w:val="5D690E9D"/>
    <w:rsid w:val="5E53181A"/>
    <w:rsid w:val="5EAF519E"/>
    <w:rsid w:val="5EBF3633"/>
    <w:rsid w:val="5F6A566F"/>
    <w:rsid w:val="5FCC24AC"/>
    <w:rsid w:val="5FFD0C27"/>
    <w:rsid w:val="600E7AFC"/>
    <w:rsid w:val="60FC0BC2"/>
    <w:rsid w:val="61C6232F"/>
    <w:rsid w:val="61CD42B9"/>
    <w:rsid w:val="61EF4D0D"/>
    <w:rsid w:val="61F45BA7"/>
    <w:rsid w:val="631321A0"/>
    <w:rsid w:val="63612F0B"/>
    <w:rsid w:val="63974B7F"/>
    <w:rsid w:val="63DA2CBD"/>
    <w:rsid w:val="6421353B"/>
    <w:rsid w:val="642F6499"/>
    <w:rsid w:val="65FD35A1"/>
    <w:rsid w:val="66032913"/>
    <w:rsid w:val="6641686E"/>
    <w:rsid w:val="67694A84"/>
    <w:rsid w:val="682C0241"/>
    <w:rsid w:val="68572B2F"/>
    <w:rsid w:val="69074555"/>
    <w:rsid w:val="69236EB5"/>
    <w:rsid w:val="69C075EE"/>
    <w:rsid w:val="6B015BE1"/>
    <w:rsid w:val="6B0E5BB9"/>
    <w:rsid w:val="6B480E55"/>
    <w:rsid w:val="6C205D25"/>
    <w:rsid w:val="6C2076DB"/>
    <w:rsid w:val="6C4E5301"/>
    <w:rsid w:val="6C9165FC"/>
    <w:rsid w:val="6DC361A7"/>
    <w:rsid w:val="6E05282A"/>
    <w:rsid w:val="6E2F05F0"/>
    <w:rsid w:val="6E6B376F"/>
    <w:rsid w:val="70205B1C"/>
    <w:rsid w:val="70425E72"/>
    <w:rsid w:val="70680FE1"/>
    <w:rsid w:val="70CC6D1D"/>
    <w:rsid w:val="725246C0"/>
    <w:rsid w:val="72F84583"/>
    <w:rsid w:val="73177DA6"/>
    <w:rsid w:val="7440470D"/>
    <w:rsid w:val="76D23262"/>
    <w:rsid w:val="772C594B"/>
    <w:rsid w:val="784A1D68"/>
    <w:rsid w:val="78935C22"/>
    <w:rsid w:val="78FA1D24"/>
    <w:rsid w:val="790649D2"/>
    <w:rsid w:val="79D47894"/>
    <w:rsid w:val="7A1F5BC8"/>
    <w:rsid w:val="7AA16C01"/>
    <w:rsid w:val="7B38434E"/>
    <w:rsid w:val="7B392683"/>
    <w:rsid w:val="7B4E7DC1"/>
    <w:rsid w:val="7BA26184"/>
    <w:rsid w:val="7CE64029"/>
    <w:rsid w:val="7D101C9B"/>
    <w:rsid w:val="7D910439"/>
    <w:rsid w:val="7DB84591"/>
    <w:rsid w:val="7DD520D4"/>
    <w:rsid w:val="7F691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32"/>
      <w:szCs w:val="32"/>
    </w:rPr>
  </w:style>
  <w:style w:type="paragraph" w:styleId="5">
    <w:name w:val="Body Text Indent"/>
    <w:basedOn w:val="1"/>
    <w:autoRedefine/>
    <w:unhideWhenUsed/>
    <w:qFormat/>
    <w:uiPriority w:val="99"/>
    <w:pPr>
      <w:spacing w:line="580" w:lineRule="exact"/>
      <w:ind w:left="901" w:leftChars="429" w:firstLine="600" w:firstLineChars="200"/>
    </w:pPr>
    <w:rPr>
      <w:rFonts w:ascii="仿宋_GB2312" w:eastAsia="仿宋_GB2312"/>
      <w:sz w:val="30"/>
    </w:rPr>
  </w:style>
  <w:style w:type="paragraph" w:styleId="6">
    <w:name w:val="Plain Text"/>
    <w:basedOn w:val="1"/>
    <w:autoRedefine/>
    <w:qFormat/>
    <w:uiPriority w:val="0"/>
    <w:rPr>
      <w:rFonts w:ascii="宋体" w:hAnsi="宋体" w:eastAsia="宋体" w:cs="宋体"/>
      <w:color w:val="000000"/>
      <w:szCs w:val="21"/>
      <w:u w:color="000000"/>
    </w:rPr>
  </w:style>
  <w:style w:type="paragraph" w:styleId="7">
    <w:name w:val="Balloon Text"/>
    <w:basedOn w:val="1"/>
    <w:link w:val="16"/>
    <w:autoRedefine/>
    <w:semiHidden/>
    <w:unhideWhenUsed/>
    <w:qFormat/>
    <w:uiPriority w:val="99"/>
    <w:rPr>
      <w:sz w:val="18"/>
      <w:szCs w:val="18"/>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Body Text First Indent 2"/>
    <w:basedOn w:val="5"/>
    <w:autoRedefine/>
    <w:unhideWhenUsed/>
    <w:qFormat/>
    <w:uiPriority w:val="99"/>
    <w:pPr>
      <w:ind w:firstLine="420"/>
    </w:pPr>
  </w:style>
  <w:style w:type="character" w:customStyle="1" w:styleId="14">
    <w:name w:val="页眉 字符"/>
    <w:basedOn w:val="13"/>
    <w:link w:val="9"/>
    <w:autoRedefine/>
    <w:qFormat/>
    <w:uiPriority w:val="99"/>
    <w:rPr>
      <w:sz w:val="18"/>
      <w:szCs w:val="18"/>
    </w:rPr>
  </w:style>
  <w:style w:type="character" w:customStyle="1" w:styleId="15">
    <w:name w:val="页脚 字符"/>
    <w:basedOn w:val="13"/>
    <w:link w:val="8"/>
    <w:autoRedefine/>
    <w:qFormat/>
    <w:uiPriority w:val="99"/>
    <w:rPr>
      <w:sz w:val="18"/>
      <w:szCs w:val="18"/>
    </w:rPr>
  </w:style>
  <w:style w:type="character" w:customStyle="1" w:styleId="16">
    <w:name w:val="批注框文本 字符"/>
    <w:basedOn w:val="13"/>
    <w:link w:val="7"/>
    <w:autoRedefine/>
    <w:semiHidden/>
    <w:qFormat/>
    <w:uiPriority w:val="99"/>
    <w:rPr>
      <w:sz w:val="18"/>
      <w:szCs w:val="18"/>
    </w:rPr>
  </w:style>
  <w:style w:type="paragraph" w:customStyle="1" w:styleId="17">
    <w:name w:val="正文 A"/>
    <w:autoRedefine/>
    <w:qFormat/>
    <w:uiPriority w:val="0"/>
    <w:pPr>
      <w:widowControl w:val="0"/>
      <w:jc w:val="both"/>
    </w:pPr>
    <w:rPr>
      <w:rFonts w:hint="eastAsia" w:ascii="Arial Unicode MS" w:hAnsi="Arial Unicode MS" w:eastAsia="Arial Unicode MS" w:cs="Arial Unicode MS"/>
      <w:color w:val="000000"/>
      <w:kern w:val="2"/>
      <w:sz w:val="28"/>
      <w:szCs w:val="28"/>
      <w:u w:color="000000"/>
      <w:lang w:val="en-US" w:eastAsia="zh-CN" w:bidi="ar-SA"/>
    </w:rPr>
  </w:style>
  <w:style w:type="paragraph" w:customStyle="1" w:styleId="18">
    <w:name w:val="表名"/>
    <w:basedOn w:val="1"/>
    <w:autoRedefine/>
    <w:qFormat/>
    <w:uiPriority w:val="0"/>
    <w:pPr>
      <w:spacing w:before="60" w:after="60"/>
      <w:jc w:val="center"/>
    </w:pPr>
    <w:rPr>
      <w:rFonts w:eastAsia="仿宋_GB2312"/>
      <w:b/>
      <w:sz w:val="24"/>
      <w:szCs w:val="24"/>
    </w:rPr>
  </w:style>
  <w:style w:type="paragraph" w:customStyle="1" w:styleId="19">
    <w:name w:val="南京附件标题"/>
    <w:basedOn w:val="20"/>
    <w:autoRedefine/>
    <w:qFormat/>
    <w:uiPriority w:val="5"/>
    <w:pPr>
      <w:numPr>
        <w:ilvl w:val="5"/>
        <w:numId w:val="1"/>
      </w:numPr>
      <w:ind w:firstLineChars="0"/>
      <w:outlineLvl w:val="0"/>
    </w:pPr>
    <w:rPr>
      <w:rFonts w:eastAsia="黑体"/>
      <w:b/>
    </w:rPr>
  </w:style>
  <w:style w:type="paragraph" w:customStyle="1" w:styleId="20">
    <w:name w:val="南京正文"/>
    <w:basedOn w:val="1"/>
    <w:qFormat/>
    <w:uiPriority w:val="0"/>
    <w:pPr>
      <w:spacing w:line="500" w:lineRule="exact"/>
      <w:ind w:firstLine="200" w:firstLineChars="200"/>
    </w:pPr>
    <w:rPr>
      <w:rFonts w:eastAsia="仿宋_GB2312"/>
      <w:color w:val="000000"/>
      <w:kern w:val="0"/>
      <w:sz w:val="28"/>
      <w:szCs w:val="28"/>
      <w:lang w:val="zh-CN"/>
    </w:rPr>
  </w:style>
  <w:style w:type="paragraph" w:customStyle="1" w:styleId="21">
    <w:name w:val="闻政表文字"/>
    <w:basedOn w:val="22"/>
    <w:qFormat/>
    <w:uiPriority w:val="5"/>
    <w:pPr>
      <w:widowControl/>
      <w:pBdr>
        <w:between w:val="single" w:color="auto" w:sz="4" w:space="1"/>
      </w:pBdr>
      <w:spacing w:line="320" w:lineRule="exact"/>
      <w:ind w:firstLine="0" w:firstLineChars="0"/>
      <w:jc w:val="center"/>
    </w:pPr>
    <w:rPr>
      <w:rFonts w:cs="宋体"/>
      <w:bCs/>
      <w:color w:val="000000"/>
      <w:sz w:val="22"/>
      <w:szCs w:val="22"/>
    </w:rPr>
  </w:style>
  <w:style w:type="paragraph" w:customStyle="1" w:styleId="22">
    <w:name w:val="闻政正文"/>
    <w:basedOn w:val="1"/>
    <w:qFormat/>
    <w:uiPriority w:val="0"/>
    <w:pPr>
      <w:spacing w:line="500" w:lineRule="exact"/>
      <w:ind w:firstLine="200" w:firstLineChars="200"/>
    </w:pPr>
    <w:rPr>
      <w:rFonts w:ascii="Times New Roman" w:hAnsi="Times New Roman" w:eastAsia="仿宋_GB2312"/>
      <w:kern w:val="0"/>
      <w:sz w:val="28"/>
      <w:szCs w:val="28"/>
      <w:lang w:val="zh-CN"/>
    </w:rPr>
  </w:style>
  <w:style w:type="paragraph" w:styleId="23">
    <w:name w:val="List Paragraph"/>
    <w:basedOn w:val="1"/>
    <w:autoRedefine/>
    <w:qFormat/>
    <w:uiPriority w:val="99"/>
    <w:pPr>
      <w:ind w:firstLine="420" w:firstLineChars="200"/>
    </w:pPr>
  </w:style>
  <w:style w:type="paragraph" w:customStyle="1" w:styleId="24">
    <w:name w:val="公文正文"/>
    <w:basedOn w:val="1"/>
    <w:autoRedefine/>
    <w:qFormat/>
    <w:uiPriority w:val="0"/>
    <w:pPr>
      <w:spacing w:line="560" w:lineRule="exact"/>
      <w:ind w:left="420" w:left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8460</Words>
  <Characters>8911</Characters>
  <Lines>82</Lines>
  <Paragraphs>23</Paragraphs>
  <TotalTime>43</TotalTime>
  <ScaleCrop>false</ScaleCrop>
  <LinksUpToDate>false</LinksUpToDate>
  <CharactersWithSpaces>8942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2020-07-01T01:30:00Z</dcterms:created>
  <dc:creator>lys</dc:creator>
  <cp:lastModifiedBy>fiona</cp:lastModifiedBy>
  <cp:lastPrinted>2022-10-09T00:32:00Z</cp:lastPrinted>
  <dcterms:modified xsi:type="dcterms:W3CDTF">2025-11-17T00:56:16Z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462249473_btnclosed</vt:lpwstr>
  </property>
  <property fmtid="{D5CDD505-2E9C-101B-9397-08002B2CF9AE}" pid="4" name="ICV">
    <vt:lpwstr>33CFB9057E5A4DDF96C05098F7F9961C_13</vt:lpwstr>
  </property>
  <property fmtid="{D5CDD505-2E9C-101B-9397-08002B2CF9AE}" pid="5" name="KSOTemplateDocerSaveRecord">
    <vt:lpwstr>eyJoZGlkIjoiM2MwMDkxYTUxYjM3N2ZlN2M5NDM2NGVlNWI4YzJmMjUiLCJ1c2VySWQiOiI0NjIyNDk0NzMifQ==</vt:lpwstr>
  </property>
</Properties>
</file>