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3B219">
      <w:pPr>
        <w:keepNext w:val="0"/>
        <w:keepLines w:val="0"/>
        <w:pageBreakBefore w:val="0"/>
        <w:widowControl w:val="0"/>
        <w:kinsoku/>
        <w:wordWrap/>
        <w:overflowPunct/>
        <w:topLinePunct w:val="0"/>
        <w:autoSpaceDE/>
        <w:autoSpaceDN/>
        <w:bidi w:val="0"/>
        <w:spacing w:line="640" w:lineRule="exact"/>
        <w:ind w:firstLine="0" w:firstLineChars="0"/>
        <w:jc w:val="center"/>
        <w:outlineLvl w:val="0"/>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202</w:t>
      </w:r>
      <w:r>
        <w:rPr>
          <w:rFonts w:hint="eastAsia" w:ascii="方正小标宋简体" w:hAnsi="方正小标宋简体" w:eastAsia="方正小标宋简体" w:cs="方正小标宋简体"/>
          <w:bCs/>
          <w:spacing w:val="0"/>
          <w:sz w:val="44"/>
          <w:szCs w:val="44"/>
          <w:lang w:val="en-US" w:eastAsia="zh-CN"/>
        </w:rPr>
        <w:t>5</w:t>
      </w:r>
      <w:r>
        <w:rPr>
          <w:rFonts w:hint="eastAsia" w:ascii="方正小标宋简体" w:hAnsi="方正小标宋简体" w:eastAsia="方正小标宋简体" w:cs="方正小标宋简体"/>
          <w:bCs/>
          <w:spacing w:val="0"/>
          <w:sz w:val="44"/>
          <w:szCs w:val="44"/>
        </w:rPr>
        <w:t>年度南京市六一幼儿园</w:t>
      </w:r>
    </w:p>
    <w:p w14:paraId="7950DA6B">
      <w:pPr>
        <w:keepNext w:val="0"/>
        <w:keepLines w:val="0"/>
        <w:pageBreakBefore w:val="0"/>
        <w:widowControl w:val="0"/>
        <w:kinsoku/>
        <w:wordWrap/>
        <w:overflowPunct/>
        <w:topLinePunct w:val="0"/>
        <w:autoSpaceDE/>
        <w:autoSpaceDN/>
        <w:bidi w:val="0"/>
        <w:spacing w:line="640" w:lineRule="exact"/>
        <w:ind w:firstLine="0" w:firstLineChars="0"/>
        <w:jc w:val="center"/>
        <w:outlineLvl w:val="0"/>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（南京市市级机关第三幼儿园）</w:t>
      </w:r>
    </w:p>
    <w:p w14:paraId="59985E02">
      <w:pPr>
        <w:keepNext w:val="0"/>
        <w:keepLines w:val="0"/>
        <w:pageBreakBefore w:val="0"/>
        <w:widowControl w:val="0"/>
        <w:kinsoku/>
        <w:wordWrap/>
        <w:overflowPunct/>
        <w:topLinePunct w:val="0"/>
        <w:autoSpaceDE/>
        <w:autoSpaceDN/>
        <w:bidi w:val="0"/>
        <w:spacing w:line="640" w:lineRule="exact"/>
        <w:ind w:firstLine="0" w:firstLineChars="0"/>
        <w:jc w:val="center"/>
        <w:outlineLvl w:val="0"/>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整体预算绩效自评价报告</w:t>
      </w:r>
    </w:p>
    <w:p w14:paraId="489AC7DB">
      <w:pPr>
        <w:keepNext w:val="0"/>
        <w:keepLines w:val="0"/>
        <w:pageBreakBefore w:val="0"/>
        <w:kinsoku/>
        <w:wordWrap/>
        <w:overflowPunct/>
        <w:topLinePunct w:val="0"/>
        <w:autoSpaceDE/>
        <w:autoSpaceDN/>
        <w:bidi w:val="0"/>
        <w:adjustRightInd/>
        <w:spacing w:line="500" w:lineRule="exact"/>
        <w:textAlignment w:val="auto"/>
        <w:rPr>
          <w:rFonts w:hint="eastAsia" w:ascii="方正黑体_GBK" w:hAnsi="方正黑体_GBK" w:eastAsia="方正黑体_GBK" w:cs="方正黑体_GBK"/>
          <w:b/>
          <w:bCs/>
          <w:color w:val="auto"/>
          <w:kern w:val="0"/>
          <w:sz w:val="32"/>
          <w:szCs w:val="32"/>
          <w:highlight w:val="none"/>
        </w:rPr>
      </w:pPr>
    </w:p>
    <w:p w14:paraId="538D7EDD">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一、部门（单位）概况</w:t>
      </w:r>
    </w:p>
    <w:p w14:paraId="1B056B7B">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（一）部门（单位）基本情况</w:t>
      </w:r>
    </w:p>
    <w:p w14:paraId="08681854">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1.部门（单位）职能</w:t>
      </w:r>
    </w:p>
    <w:p w14:paraId="1645378B">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南京市六一幼儿园（南京市市级机关第三幼儿园）</w:t>
      </w:r>
      <w:r>
        <w:rPr>
          <w:rFonts w:hint="eastAsia" w:ascii="方正仿宋_GBK" w:hAnsi="方正仿宋_GBK" w:eastAsia="方正仿宋_GBK" w:cs="方正仿宋_GBK"/>
          <w:b w:val="0"/>
          <w:bCs w:val="0"/>
          <w:color w:val="auto"/>
          <w:kern w:val="0"/>
          <w:sz w:val="32"/>
          <w:szCs w:val="32"/>
          <w:highlight w:val="none"/>
          <w:lang w:eastAsia="zh-CN"/>
        </w:rPr>
        <w:t>，</w:t>
      </w:r>
      <w:r>
        <w:rPr>
          <w:rFonts w:hint="eastAsia" w:ascii="方正仿宋_GBK" w:hAnsi="方正仿宋_GBK" w:eastAsia="方正仿宋_GBK" w:cs="方正仿宋_GBK"/>
          <w:b w:val="0"/>
          <w:bCs w:val="0"/>
          <w:color w:val="auto"/>
          <w:kern w:val="0"/>
          <w:sz w:val="32"/>
          <w:szCs w:val="32"/>
          <w:highlight w:val="none"/>
        </w:rPr>
        <w:t>创办于1996年，是一所省级示范性幼儿园，隶属于南京市机关事务管理局。自建园以来，幼儿园全面贯彻落实党的教育方针政策，认真实施《幼儿园工作规程</w:t>
      </w:r>
      <w:r>
        <w:rPr>
          <w:rFonts w:hint="eastAsia" w:ascii="方正仿宋_GBK" w:hAnsi="方正仿宋_GBK" w:eastAsia="方正仿宋_GBK" w:cs="方正仿宋_GBK"/>
          <w:b w:val="0"/>
          <w:bCs w:val="0"/>
          <w:color w:val="auto"/>
          <w:kern w:val="0"/>
          <w:sz w:val="32"/>
          <w:szCs w:val="32"/>
          <w:highlight w:val="none"/>
          <w:lang w:eastAsia="zh-CN"/>
        </w:rPr>
        <w:t>》《</w:t>
      </w:r>
      <w:r>
        <w:rPr>
          <w:rFonts w:hint="eastAsia" w:ascii="方正仿宋_GBK" w:hAnsi="方正仿宋_GBK" w:eastAsia="方正仿宋_GBK" w:cs="方正仿宋_GBK"/>
          <w:b w:val="0"/>
          <w:bCs w:val="0"/>
          <w:color w:val="auto"/>
          <w:kern w:val="0"/>
          <w:sz w:val="32"/>
          <w:szCs w:val="32"/>
          <w:highlight w:val="none"/>
        </w:rPr>
        <w:t>幼儿园教育指导纲要》和《3-6岁儿童学习与发展指南》，树立“一切为了孩子”的教育思想，以服务于幼儿、服务于家长为宗旨，以培养幼儿健康体魄、健全人格、良好习惯、多元智能为教育目标，综合利用各类教育资源，为学龄前儿童（市级机关学龄前子女）提供教育保育、托育服务，对幼儿实施体、智、德、美综合教育，促进幼儿身心和谐发展，努力实现让孩子、教师、幼儿园“有活力地成长”。</w:t>
      </w:r>
    </w:p>
    <w:p w14:paraId="785D8BC7">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lang w:val="en-US" w:eastAsia="zh-CN"/>
        </w:rPr>
        <w:t>2.</w:t>
      </w:r>
      <w:r>
        <w:rPr>
          <w:rFonts w:hint="eastAsia" w:ascii="方正仿宋_GBK" w:hAnsi="方正仿宋_GBK" w:eastAsia="方正仿宋_GBK" w:cs="方正仿宋_GBK"/>
          <w:b w:val="0"/>
          <w:bCs w:val="0"/>
          <w:color w:val="auto"/>
          <w:kern w:val="0"/>
          <w:sz w:val="32"/>
          <w:szCs w:val="32"/>
          <w:highlight w:val="none"/>
        </w:rPr>
        <w:t>机构设置</w:t>
      </w:r>
    </w:p>
    <w:p w14:paraId="720D465B">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根据单位职责分工，本单位内设机构包括教科室及行政后勤办公室。本单位无下属单位。</w:t>
      </w:r>
    </w:p>
    <w:p w14:paraId="3D5B2D53">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eastAsia="zh-CN"/>
        </w:rPr>
      </w:pP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lang w:eastAsia="zh-CN"/>
        </w:rPr>
        <w:t>人员配置</w:t>
      </w:r>
    </w:p>
    <w:p w14:paraId="7E60ED25">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t>202</w:t>
      </w:r>
      <w:r>
        <w:rPr>
          <w:rFonts w:hint="eastAsia" w:ascii="方正仿宋_GBK" w:hAnsi="方正仿宋_GBK" w:eastAsia="方正仿宋_GBK" w:cs="方正仿宋_GBK"/>
          <w:b w:val="0"/>
          <w:bCs w:val="0"/>
          <w:color w:val="auto"/>
          <w:sz w:val="32"/>
          <w:szCs w:val="32"/>
          <w:highlight w:val="none"/>
          <w:lang w:val="en-US" w:eastAsia="zh-CN"/>
        </w:rPr>
        <w:t>5</w:t>
      </w:r>
      <w:r>
        <w:rPr>
          <w:rFonts w:hint="eastAsia" w:ascii="方正仿宋_GBK" w:hAnsi="方正仿宋_GBK" w:eastAsia="方正仿宋_GBK" w:cs="方正仿宋_GBK"/>
          <w:b w:val="0"/>
          <w:bCs w:val="0"/>
          <w:color w:val="auto"/>
          <w:sz w:val="32"/>
          <w:szCs w:val="32"/>
          <w:highlight w:val="none"/>
          <w:lang w:eastAsia="zh-CN"/>
        </w:rPr>
        <w:t>年，南京市六一幼儿园（南京市市级机关第三幼儿园）核准事业编制</w:t>
      </w:r>
      <w:r>
        <w:rPr>
          <w:rFonts w:hint="eastAsia" w:ascii="方正仿宋_GBK" w:hAnsi="方正仿宋_GBK" w:eastAsia="方正仿宋_GBK" w:cs="方正仿宋_GBK"/>
          <w:b w:val="0"/>
          <w:bCs w:val="0"/>
          <w:color w:val="auto"/>
          <w:sz w:val="32"/>
          <w:szCs w:val="32"/>
          <w:highlight w:val="none"/>
          <w:lang w:val="en-US" w:eastAsia="zh-CN"/>
        </w:rPr>
        <w:t>50</w:t>
      </w:r>
      <w:r>
        <w:rPr>
          <w:rFonts w:hint="eastAsia" w:ascii="方正仿宋_GBK" w:hAnsi="方正仿宋_GBK" w:eastAsia="方正仿宋_GBK" w:cs="方正仿宋_GBK"/>
          <w:b w:val="0"/>
          <w:bCs w:val="0"/>
          <w:color w:val="auto"/>
          <w:sz w:val="32"/>
          <w:szCs w:val="32"/>
          <w:highlight w:val="none"/>
          <w:lang w:eastAsia="zh-CN"/>
        </w:rPr>
        <w:t>人。截至202</w:t>
      </w:r>
      <w:r>
        <w:rPr>
          <w:rFonts w:hint="eastAsia" w:ascii="方正仿宋_GBK" w:hAnsi="方正仿宋_GBK" w:eastAsia="方正仿宋_GBK" w:cs="方正仿宋_GBK"/>
          <w:b w:val="0"/>
          <w:bCs w:val="0"/>
          <w:color w:val="auto"/>
          <w:sz w:val="32"/>
          <w:szCs w:val="32"/>
          <w:highlight w:val="none"/>
          <w:lang w:val="en-US" w:eastAsia="zh-CN"/>
        </w:rPr>
        <w:t>5</w:t>
      </w:r>
      <w:r>
        <w:rPr>
          <w:rFonts w:hint="eastAsia" w:ascii="方正仿宋_GBK" w:hAnsi="方正仿宋_GBK" w:eastAsia="方正仿宋_GBK" w:cs="方正仿宋_GBK"/>
          <w:b w:val="0"/>
          <w:bCs w:val="0"/>
          <w:color w:val="auto"/>
          <w:sz w:val="32"/>
          <w:szCs w:val="32"/>
          <w:highlight w:val="none"/>
          <w:lang w:eastAsia="zh-CN"/>
        </w:rPr>
        <w:t>年12月，共有在职人员</w:t>
      </w:r>
      <w:r>
        <w:rPr>
          <w:rFonts w:hint="eastAsia" w:ascii="方正仿宋_GBK" w:hAnsi="方正仿宋_GBK" w:eastAsia="方正仿宋_GBK" w:cs="方正仿宋_GBK"/>
          <w:b w:val="0"/>
          <w:bCs w:val="0"/>
          <w:color w:val="auto"/>
          <w:sz w:val="32"/>
          <w:szCs w:val="32"/>
          <w:highlight w:val="none"/>
          <w:lang w:val="en-US" w:eastAsia="zh-CN"/>
        </w:rPr>
        <w:t>51</w:t>
      </w:r>
      <w:r>
        <w:rPr>
          <w:rFonts w:hint="eastAsia" w:ascii="方正仿宋_GBK" w:hAnsi="方正仿宋_GBK" w:eastAsia="方正仿宋_GBK" w:cs="方正仿宋_GBK"/>
          <w:b w:val="0"/>
          <w:bCs w:val="0"/>
          <w:color w:val="auto"/>
          <w:sz w:val="32"/>
          <w:szCs w:val="32"/>
          <w:highlight w:val="none"/>
          <w:lang w:eastAsia="zh-CN"/>
        </w:rPr>
        <w:t>人，其中事业编制</w:t>
      </w:r>
      <w:r>
        <w:rPr>
          <w:rFonts w:hint="eastAsia" w:ascii="方正仿宋_GBK" w:hAnsi="方正仿宋_GBK" w:eastAsia="方正仿宋_GBK" w:cs="方正仿宋_GBK"/>
          <w:b w:val="0"/>
          <w:bCs w:val="0"/>
          <w:color w:val="auto"/>
          <w:sz w:val="32"/>
          <w:szCs w:val="32"/>
          <w:highlight w:val="none"/>
          <w:lang w:val="en-US" w:eastAsia="zh-CN"/>
        </w:rPr>
        <w:t>36</w:t>
      </w:r>
      <w:r>
        <w:rPr>
          <w:rFonts w:hint="eastAsia" w:ascii="方正仿宋_GBK" w:hAnsi="方正仿宋_GBK" w:eastAsia="方正仿宋_GBK" w:cs="方正仿宋_GBK"/>
          <w:b w:val="0"/>
          <w:bCs w:val="0"/>
          <w:color w:val="auto"/>
          <w:sz w:val="32"/>
          <w:szCs w:val="32"/>
          <w:highlight w:val="none"/>
          <w:lang w:eastAsia="zh-CN"/>
        </w:rPr>
        <w:t>人，其他编外人员</w:t>
      </w:r>
      <w:r>
        <w:rPr>
          <w:rFonts w:hint="eastAsia" w:ascii="方正仿宋_GBK" w:hAnsi="方正仿宋_GBK" w:eastAsia="方正仿宋_GBK" w:cs="方正仿宋_GBK"/>
          <w:b w:val="0"/>
          <w:bCs w:val="0"/>
          <w:color w:val="auto"/>
          <w:sz w:val="32"/>
          <w:szCs w:val="32"/>
          <w:highlight w:val="none"/>
          <w:lang w:val="en-US" w:eastAsia="zh-CN"/>
        </w:rPr>
        <w:t>15</w:t>
      </w:r>
      <w:r>
        <w:rPr>
          <w:rFonts w:hint="eastAsia" w:ascii="方正仿宋_GBK" w:hAnsi="方正仿宋_GBK" w:eastAsia="方正仿宋_GBK" w:cs="方正仿宋_GBK"/>
          <w:b w:val="0"/>
          <w:bCs w:val="0"/>
          <w:color w:val="auto"/>
          <w:sz w:val="32"/>
          <w:szCs w:val="32"/>
          <w:highlight w:val="none"/>
          <w:lang w:eastAsia="zh-CN"/>
        </w:rPr>
        <w:t>人；另有退休</w:t>
      </w:r>
      <w:r>
        <w:rPr>
          <w:rFonts w:hint="eastAsia" w:ascii="方正仿宋_GBK" w:hAnsi="方正仿宋_GBK" w:eastAsia="方正仿宋_GBK" w:cs="方正仿宋_GBK"/>
          <w:b w:val="0"/>
          <w:bCs w:val="0"/>
          <w:color w:val="auto"/>
          <w:sz w:val="32"/>
          <w:szCs w:val="32"/>
          <w:highlight w:val="none"/>
          <w:lang w:val="en-US" w:eastAsia="zh-CN"/>
        </w:rPr>
        <w:t>5</w:t>
      </w:r>
      <w:r>
        <w:rPr>
          <w:rFonts w:hint="eastAsia" w:ascii="方正仿宋_GBK" w:hAnsi="方正仿宋_GBK" w:eastAsia="方正仿宋_GBK" w:cs="方正仿宋_GBK"/>
          <w:b w:val="0"/>
          <w:bCs w:val="0"/>
          <w:color w:val="auto"/>
          <w:sz w:val="32"/>
          <w:szCs w:val="32"/>
          <w:highlight w:val="none"/>
          <w:lang w:eastAsia="zh-CN"/>
        </w:rPr>
        <w:t>人。</w:t>
      </w:r>
    </w:p>
    <w:p w14:paraId="4EC23B3F">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4.部门资产</w:t>
      </w:r>
    </w:p>
    <w:p w14:paraId="3AEEDF81">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default" w:ascii="方正仿宋_GBK" w:hAnsi="方正仿宋_GBK" w:eastAsia="方正仿宋_GBK" w:cs="方正仿宋_GBK"/>
          <w:b w:val="0"/>
          <w:bCs w:val="0"/>
          <w:color w:val="auto"/>
          <w:sz w:val="32"/>
          <w:szCs w:val="32"/>
          <w:highlight w:val="none"/>
          <w:lang w:val="en-US" w:eastAsia="zh-CN"/>
        </w:rPr>
      </w:pPr>
      <w:r>
        <w:rPr>
          <w:rFonts w:hint="default" w:ascii="方正仿宋_GBK" w:hAnsi="方正仿宋_GBK" w:eastAsia="方正仿宋_GBK" w:cs="方正仿宋_GBK"/>
          <w:b w:val="0"/>
          <w:bCs w:val="0"/>
          <w:color w:val="auto"/>
          <w:sz w:val="32"/>
          <w:szCs w:val="32"/>
          <w:highlight w:val="none"/>
          <w:lang w:val="en-US" w:eastAsia="zh-CN"/>
        </w:rPr>
        <w:t>截至202</w:t>
      </w:r>
      <w:r>
        <w:rPr>
          <w:rFonts w:hint="eastAsia" w:ascii="方正仿宋_GBK" w:hAnsi="方正仿宋_GBK" w:eastAsia="方正仿宋_GBK" w:cs="方正仿宋_GBK"/>
          <w:b w:val="0"/>
          <w:bCs w:val="0"/>
          <w:color w:val="auto"/>
          <w:sz w:val="32"/>
          <w:szCs w:val="32"/>
          <w:highlight w:val="none"/>
          <w:lang w:val="en-US" w:eastAsia="zh-CN"/>
        </w:rPr>
        <w:t>5</w:t>
      </w:r>
      <w:r>
        <w:rPr>
          <w:rFonts w:hint="default" w:ascii="方正仿宋_GBK" w:hAnsi="方正仿宋_GBK" w:eastAsia="方正仿宋_GBK" w:cs="方正仿宋_GBK"/>
          <w:b w:val="0"/>
          <w:bCs w:val="0"/>
          <w:color w:val="auto"/>
          <w:sz w:val="32"/>
          <w:szCs w:val="32"/>
          <w:highlight w:val="none"/>
          <w:lang w:val="en-US" w:eastAsia="zh-CN"/>
        </w:rPr>
        <w:t>年12月31日，幼儿园资产总额为</w:t>
      </w:r>
      <w:r>
        <w:rPr>
          <w:rFonts w:hint="eastAsia" w:ascii="方正仿宋_GBK" w:hAnsi="方正仿宋_GBK" w:eastAsia="方正仿宋_GBK" w:cs="方正仿宋_GBK"/>
          <w:b w:val="0"/>
          <w:bCs w:val="0"/>
          <w:color w:val="auto"/>
          <w:sz w:val="32"/>
          <w:szCs w:val="32"/>
          <w:highlight w:val="none"/>
          <w:lang w:val="en-US" w:eastAsia="zh-CN"/>
        </w:rPr>
        <w:t>3290.17</w:t>
      </w:r>
      <w:r>
        <w:rPr>
          <w:rFonts w:hint="default" w:ascii="方正仿宋_GBK" w:hAnsi="方正仿宋_GBK" w:eastAsia="方正仿宋_GBK" w:cs="方正仿宋_GBK"/>
          <w:b w:val="0"/>
          <w:bCs w:val="0"/>
          <w:color w:val="auto"/>
          <w:sz w:val="32"/>
          <w:szCs w:val="32"/>
          <w:highlight w:val="none"/>
          <w:lang w:val="en-US" w:eastAsia="zh-CN"/>
        </w:rPr>
        <w:t>万元，其中货币资金</w:t>
      </w:r>
      <w:r>
        <w:rPr>
          <w:rFonts w:hint="eastAsia" w:ascii="方正仿宋_GBK" w:hAnsi="方正仿宋_GBK" w:eastAsia="方正仿宋_GBK" w:cs="方正仿宋_GBK"/>
          <w:b w:val="0"/>
          <w:bCs w:val="0"/>
          <w:color w:val="auto"/>
          <w:sz w:val="32"/>
          <w:szCs w:val="32"/>
          <w:highlight w:val="none"/>
          <w:lang w:val="en-US" w:eastAsia="zh-CN"/>
        </w:rPr>
        <w:t>559.2</w:t>
      </w:r>
      <w:r>
        <w:rPr>
          <w:rFonts w:hint="default" w:ascii="方正仿宋_GBK" w:hAnsi="方正仿宋_GBK" w:eastAsia="方正仿宋_GBK" w:cs="方正仿宋_GBK"/>
          <w:b w:val="0"/>
          <w:bCs w:val="0"/>
          <w:color w:val="auto"/>
          <w:sz w:val="32"/>
          <w:szCs w:val="32"/>
          <w:highlight w:val="none"/>
          <w:lang w:val="en-US" w:eastAsia="zh-CN"/>
        </w:rPr>
        <w:t>万元，在建工程</w:t>
      </w:r>
      <w:r>
        <w:rPr>
          <w:rFonts w:hint="eastAsia" w:ascii="方正仿宋_GBK" w:hAnsi="方正仿宋_GBK" w:eastAsia="方正仿宋_GBK" w:cs="方正仿宋_GBK"/>
          <w:b w:val="0"/>
          <w:bCs w:val="0"/>
          <w:color w:val="auto"/>
          <w:sz w:val="32"/>
          <w:szCs w:val="32"/>
          <w:highlight w:val="none"/>
          <w:lang w:val="en-US" w:eastAsia="zh-CN"/>
        </w:rPr>
        <w:t>2534.04</w:t>
      </w:r>
      <w:r>
        <w:rPr>
          <w:rFonts w:hint="default" w:ascii="方正仿宋_GBK" w:hAnsi="方正仿宋_GBK" w:eastAsia="方正仿宋_GBK" w:cs="方正仿宋_GBK"/>
          <w:b w:val="0"/>
          <w:bCs w:val="0"/>
          <w:color w:val="auto"/>
          <w:sz w:val="32"/>
          <w:szCs w:val="32"/>
          <w:highlight w:val="none"/>
          <w:lang w:val="en-US" w:eastAsia="zh-CN"/>
        </w:rPr>
        <w:t>万元，固定资产净值</w:t>
      </w:r>
      <w:r>
        <w:rPr>
          <w:rFonts w:hint="eastAsia" w:ascii="方正仿宋_GBK" w:hAnsi="方正仿宋_GBK" w:eastAsia="方正仿宋_GBK" w:cs="方正仿宋_GBK"/>
          <w:b w:val="0"/>
          <w:bCs w:val="0"/>
          <w:color w:val="auto"/>
          <w:sz w:val="32"/>
          <w:szCs w:val="32"/>
          <w:highlight w:val="none"/>
          <w:lang w:val="en-US" w:eastAsia="zh-CN"/>
        </w:rPr>
        <w:t>196.93</w:t>
      </w:r>
      <w:r>
        <w:rPr>
          <w:rFonts w:hint="default" w:ascii="方正仿宋_GBK" w:hAnsi="方正仿宋_GBK" w:eastAsia="方正仿宋_GBK" w:cs="方正仿宋_GBK"/>
          <w:b w:val="0"/>
          <w:bCs w:val="0"/>
          <w:color w:val="auto"/>
          <w:sz w:val="32"/>
          <w:szCs w:val="32"/>
          <w:highlight w:val="none"/>
          <w:lang w:val="en-US" w:eastAsia="zh-CN"/>
        </w:rPr>
        <w:t>万元。</w:t>
      </w:r>
    </w:p>
    <w:p w14:paraId="3A889228">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（二）部门（单位）资金情况</w:t>
      </w:r>
    </w:p>
    <w:p w14:paraId="5698BE48">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1.部门收支情况</w:t>
      </w:r>
    </w:p>
    <w:p w14:paraId="601CCB38">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南京市六一幼儿园（南京市市级机关第三幼儿园）2025年预算安排2977.71万元，其中：基本支出1330.37万元，项目支出1647.34万元。调整后预算2469.87万元，其中：基本支出1374.36万元，调增43.99万元，主要原因是事业在编人员专项绩效以追加预算的形式安排；项目支出1095.51万元，净调减551.83万元，主要原因是根据“过紧日子”要求，加固改造项目年初预算进行了优化。</w:t>
      </w:r>
    </w:p>
    <w:p w14:paraId="309AA985">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2025年南京市六一幼儿园（南京市市级机关第三幼儿园）实际支出2469.87万元，预算执行率82.95%。其中：基本支出1374.36万元，预算执行率103.31%；项目支出1095.51万元，预算执行率66.5%。</w:t>
      </w:r>
    </w:p>
    <w:p w14:paraId="58497AE2">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详情见表1。</w:t>
      </w:r>
    </w:p>
    <w:p w14:paraId="014E33A8">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p>
    <w:p w14:paraId="25DB51C7">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p>
    <w:p w14:paraId="1E325BDD">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p>
    <w:p w14:paraId="79DA9D3E">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方正仿宋_GBK" w:hAnsi="方正仿宋_GBK" w:eastAsia="方正仿宋_GBK" w:cs="方正仿宋_GBK"/>
          <w:b w:val="0"/>
          <w:bCs w:val="0"/>
          <w:color w:val="auto"/>
          <w:sz w:val="32"/>
          <w:szCs w:val="32"/>
          <w:highlight w:val="none"/>
          <w:lang w:val="en-US" w:eastAsia="zh-CN"/>
        </w:rPr>
      </w:pPr>
    </w:p>
    <w:p w14:paraId="69FDE497">
      <w:pPr>
        <w:keepNext w:val="0"/>
        <w:keepLines w:val="0"/>
        <w:pageBreakBefore w:val="0"/>
        <w:kinsoku/>
        <w:wordWrap/>
        <w:overflowPunct/>
        <w:topLinePunct w:val="0"/>
        <w:autoSpaceDE/>
        <w:autoSpaceDN/>
        <w:bidi w:val="0"/>
        <w:spacing w:line="560" w:lineRule="exact"/>
        <w:ind w:firstLine="560" w:firstLineChars="200"/>
        <w:jc w:val="center"/>
        <w:textAlignment w:val="auto"/>
        <w:rPr>
          <w:rFonts w:hint="eastAsia" w:ascii="方正仿宋_GBK" w:hAnsi="方正仿宋_GBK" w:eastAsia="方正仿宋_GBK" w:cs="方正仿宋_GBK"/>
          <w:b/>
          <w:color w:val="000000"/>
          <w:sz w:val="28"/>
          <w:szCs w:val="28"/>
        </w:rPr>
      </w:pPr>
      <w:r>
        <w:rPr>
          <w:rFonts w:hint="eastAsia" w:ascii="方正仿宋_GBK" w:hAnsi="方正仿宋_GBK" w:eastAsia="方正仿宋_GBK" w:cs="方正仿宋_GBK"/>
          <w:b/>
          <w:color w:val="000000"/>
          <w:sz w:val="28"/>
          <w:szCs w:val="28"/>
        </w:rPr>
        <w:t>表1  202</w:t>
      </w:r>
      <w:r>
        <w:rPr>
          <w:rFonts w:hint="eastAsia" w:ascii="方正仿宋_GBK" w:hAnsi="方正仿宋_GBK" w:eastAsia="方正仿宋_GBK" w:cs="方正仿宋_GBK"/>
          <w:b/>
          <w:color w:val="000000"/>
          <w:sz w:val="28"/>
          <w:szCs w:val="28"/>
          <w:lang w:val="en-US" w:eastAsia="zh-CN"/>
        </w:rPr>
        <w:t>5</w:t>
      </w:r>
      <w:r>
        <w:rPr>
          <w:rFonts w:hint="eastAsia" w:ascii="方正仿宋_GBK" w:hAnsi="方正仿宋_GBK" w:eastAsia="方正仿宋_GBK" w:cs="方正仿宋_GBK"/>
          <w:b/>
          <w:color w:val="000000"/>
          <w:sz w:val="28"/>
          <w:szCs w:val="28"/>
        </w:rPr>
        <w:t>年</w:t>
      </w:r>
      <w:r>
        <w:rPr>
          <w:rFonts w:hint="eastAsia" w:ascii="方正仿宋_GBK" w:hAnsi="方正仿宋_GBK" w:eastAsia="方正仿宋_GBK" w:cs="方正仿宋_GBK"/>
          <w:b/>
          <w:color w:val="000000"/>
          <w:sz w:val="28"/>
          <w:szCs w:val="28"/>
          <w:lang w:val="en-US" w:eastAsia="zh-CN"/>
        </w:rPr>
        <w:t>南京市六一幼儿园（南京市市级机关第三幼儿园）</w:t>
      </w:r>
      <w:r>
        <w:rPr>
          <w:rFonts w:hint="eastAsia" w:ascii="方正仿宋_GBK" w:hAnsi="方正仿宋_GBK" w:eastAsia="方正仿宋_GBK" w:cs="方正仿宋_GBK"/>
          <w:b/>
          <w:color w:val="000000"/>
          <w:sz w:val="28"/>
          <w:szCs w:val="28"/>
        </w:rPr>
        <w:t>预算安排与支出情况</w:t>
      </w:r>
    </w:p>
    <w:p w14:paraId="6010F921">
      <w:pPr>
        <w:keepNext w:val="0"/>
        <w:keepLines w:val="0"/>
        <w:pageBreakBefore w:val="0"/>
        <w:kinsoku/>
        <w:wordWrap/>
        <w:overflowPunct/>
        <w:topLinePunct w:val="0"/>
        <w:autoSpaceDE/>
        <w:autoSpaceDN/>
        <w:bidi w:val="0"/>
        <w:spacing w:line="560" w:lineRule="exact"/>
        <w:ind w:right="633" w:firstLine="560" w:firstLineChars="200"/>
        <w:jc w:val="right"/>
        <w:textAlignment w:val="auto"/>
        <w:rPr>
          <w:rFonts w:hint="eastAsia" w:ascii="方正仿宋_GBK" w:hAnsi="方正仿宋_GBK" w:eastAsia="方正仿宋_GBK" w:cs="方正仿宋_GBK"/>
          <w:b/>
          <w:color w:val="000000"/>
          <w:sz w:val="28"/>
          <w:szCs w:val="28"/>
        </w:rPr>
      </w:pPr>
      <w:r>
        <w:rPr>
          <w:rFonts w:hint="eastAsia" w:ascii="方正仿宋_GBK" w:hAnsi="方正仿宋_GBK" w:eastAsia="方正仿宋_GBK" w:cs="方正仿宋_GBK"/>
          <w:b/>
          <w:color w:val="000000"/>
          <w:sz w:val="28"/>
          <w:szCs w:val="28"/>
        </w:rPr>
        <w:t>单位：万元</w:t>
      </w:r>
    </w:p>
    <w:tbl>
      <w:tblPr>
        <w:tblStyle w:val="12"/>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976"/>
        <w:gridCol w:w="1915"/>
        <w:gridCol w:w="1633"/>
        <w:gridCol w:w="1825"/>
      </w:tblGrid>
      <w:tr w14:paraId="0D4C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1623" w:type="dxa"/>
            <w:noWrap/>
            <w:vAlign w:val="center"/>
          </w:tcPr>
          <w:p w14:paraId="2387DCB0">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支出类别</w:t>
            </w:r>
          </w:p>
        </w:tc>
        <w:tc>
          <w:tcPr>
            <w:tcW w:w="1976" w:type="dxa"/>
            <w:noWrap/>
            <w:vAlign w:val="center"/>
          </w:tcPr>
          <w:p w14:paraId="4481406B">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年初预算数</w:t>
            </w:r>
          </w:p>
        </w:tc>
        <w:tc>
          <w:tcPr>
            <w:tcW w:w="1915" w:type="dxa"/>
            <w:noWrap/>
            <w:vAlign w:val="center"/>
          </w:tcPr>
          <w:p w14:paraId="56E7C5D5">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调整后预算数</w:t>
            </w:r>
          </w:p>
        </w:tc>
        <w:tc>
          <w:tcPr>
            <w:tcW w:w="1633" w:type="dxa"/>
            <w:noWrap/>
            <w:vAlign w:val="center"/>
          </w:tcPr>
          <w:p w14:paraId="00A67BE3">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实际支出数</w:t>
            </w:r>
          </w:p>
        </w:tc>
        <w:tc>
          <w:tcPr>
            <w:tcW w:w="1825" w:type="dxa"/>
            <w:noWrap/>
            <w:vAlign w:val="center"/>
          </w:tcPr>
          <w:p w14:paraId="520934A5">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预算执行率</w:t>
            </w:r>
          </w:p>
        </w:tc>
      </w:tr>
      <w:tr w14:paraId="7963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3" w:type="dxa"/>
            <w:noWrap/>
            <w:vAlign w:val="center"/>
          </w:tcPr>
          <w:p w14:paraId="15189033">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基本支出</w:t>
            </w:r>
          </w:p>
        </w:tc>
        <w:tc>
          <w:tcPr>
            <w:tcW w:w="1976" w:type="dxa"/>
            <w:noWrap/>
            <w:vAlign w:val="center"/>
          </w:tcPr>
          <w:p w14:paraId="501B1CA9">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1330.37</w:t>
            </w:r>
          </w:p>
        </w:tc>
        <w:tc>
          <w:tcPr>
            <w:tcW w:w="1915" w:type="dxa"/>
            <w:noWrap/>
            <w:vAlign w:val="top"/>
          </w:tcPr>
          <w:p w14:paraId="1DB9359F">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1374.36</w:t>
            </w:r>
          </w:p>
        </w:tc>
        <w:tc>
          <w:tcPr>
            <w:tcW w:w="1633" w:type="dxa"/>
            <w:noWrap/>
            <w:vAlign w:val="top"/>
          </w:tcPr>
          <w:p w14:paraId="28495213">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1374.36</w:t>
            </w:r>
          </w:p>
        </w:tc>
        <w:tc>
          <w:tcPr>
            <w:tcW w:w="1825" w:type="dxa"/>
            <w:noWrap/>
            <w:vAlign w:val="top"/>
          </w:tcPr>
          <w:p w14:paraId="7007280D">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b w:val="0"/>
                <w:bCs w:val="0"/>
                <w:color w:val="auto"/>
                <w:sz w:val="32"/>
                <w:szCs w:val="32"/>
                <w:highlight w:val="none"/>
                <w:lang w:val="en-US" w:eastAsia="zh-CN"/>
              </w:rPr>
              <w:t>103.31</w:t>
            </w:r>
            <w:r>
              <w:rPr>
                <w:rFonts w:hint="default" w:ascii="Times New Roman" w:hAnsi="Times New Roman" w:eastAsia="方正仿宋_GBK" w:cs="Times New Roman"/>
                <w:color w:val="000000"/>
                <w:sz w:val="28"/>
                <w:szCs w:val="28"/>
                <w:lang w:val="en-US" w:eastAsia="zh-CN"/>
              </w:rPr>
              <w:t>%</w:t>
            </w:r>
          </w:p>
        </w:tc>
      </w:tr>
      <w:tr w14:paraId="2118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623" w:type="dxa"/>
            <w:noWrap/>
            <w:vAlign w:val="center"/>
          </w:tcPr>
          <w:p w14:paraId="4AD560F8">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项目支出</w:t>
            </w:r>
          </w:p>
        </w:tc>
        <w:tc>
          <w:tcPr>
            <w:tcW w:w="1976" w:type="dxa"/>
            <w:noWrap/>
            <w:vAlign w:val="top"/>
          </w:tcPr>
          <w:p w14:paraId="13B7D5B2">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1647.34</w:t>
            </w:r>
          </w:p>
        </w:tc>
        <w:tc>
          <w:tcPr>
            <w:tcW w:w="1915" w:type="dxa"/>
            <w:noWrap/>
            <w:vAlign w:val="top"/>
          </w:tcPr>
          <w:p w14:paraId="6538C70E">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1095.51</w:t>
            </w:r>
          </w:p>
        </w:tc>
        <w:tc>
          <w:tcPr>
            <w:tcW w:w="1633" w:type="dxa"/>
            <w:noWrap/>
            <w:vAlign w:val="top"/>
          </w:tcPr>
          <w:p w14:paraId="086BB4CB">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1095.51</w:t>
            </w:r>
          </w:p>
        </w:tc>
        <w:tc>
          <w:tcPr>
            <w:tcW w:w="1825" w:type="dxa"/>
            <w:noWrap/>
            <w:vAlign w:val="top"/>
          </w:tcPr>
          <w:p w14:paraId="47ECAD1B">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b w:val="0"/>
                <w:bCs w:val="0"/>
                <w:color w:val="auto"/>
                <w:sz w:val="32"/>
                <w:szCs w:val="32"/>
                <w:highlight w:val="none"/>
                <w:lang w:val="en-US" w:eastAsia="zh-CN"/>
              </w:rPr>
              <w:t>66.5</w:t>
            </w:r>
            <w:r>
              <w:rPr>
                <w:rFonts w:hint="default" w:ascii="Times New Roman" w:hAnsi="Times New Roman" w:eastAsia="方正仿宋_GBK" w:cs="Times New Roman"/>
                <w:color w:val="000000"/>
                <w:sz w:val="28"/>
                <w:szCs w:val="28"/>
                <w:lang w:val="en-US" w:eastAsia="zh-CN"/>
              </w:rPr>
              <w:t>%</w:t>
            </w:r>
          </w:p>
        </w:tc>
      </w:tr>
      <w:tr w14:paraId="2628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623" w:type="dxa"/>
            <w:noWrap w:val="0"/>
            <w:vAlign w:val="center"/>
          </w:tcPr>
          <w:p w14:paraId="2FAAD8AB">
            <w:pPr>
              <w:keepNext w:val="0"/>
              <w:keepLines w:val="0"/>
              <w:pageBreakBefore w:val="0"/>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合计</w:t>
            </w:r>
          </w:p>
        </w:tc>
        <w:tc>
          <w:tcPr>
            <w:tcW w:w="1976" w:type="dxa"/>
            <w:noWrap/>
            <w:vAlign w:val="top"/>
          </w:tcPr>
          <w:p w14:paraId="4DF0789B">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b w:val="0"/>
                <w:bCs w:val="0"/>
                <w:color w:val="auto"/>
                <w:sz w:val="32"/>
                <w:szCs w:val="32"/>
                <w:highlight w:val="none"/>
                <w:lang w:val="en-US" w:eastAsia="zh-CN"/>
              </w:rPr>
              <w:t>2977.71</w:t>
            </w:r>
          </w:p>
        </w:tc>
        <w:tc>
          <w:tcPr>
            <w:tcW w:w="1915" w:type="dxa"/>
            <w:noWrap/>
            <w:vAlign w:val="top"/>
          </w:tcPr>
          <w:p w14:paraId="58277E16">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b w:val="0"/>
                <w:bCs w:val="0"/>
                <w:color w:val="auto"/>
                <w:sz w:val="32"/>
                <w:szCs w:val="32"/>
                <w:highlight w:val="none"/>
                <w:lang w:val="en-US" w:eastAsia="zh-CN"/>
              </w:rPr>
              <w:t>2469.87</w:t>
            </w:r>
          </w:p>
        </w:tc>
        <w:tc>
          <w:tcPr>
            <w:tcW w:w="1633" w:type="dxa"/>
            <w:noWrap/>
            <w:vAlign w:val="top"/>
          </w:tcPr>
          <w:p w14:paraId="7F7429DC">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b w:val="0"/>
                <w:bCs w:val="0"/>
                <w:color w:val="auto"/>
                <w:sz w:val="32"/>
                <w:szCs w:val="32"/>
                <w:highlight w:val="none"/>
                <w:lang w:val="en-US" w:eastAsia="zh-CN"/>
              </w:rPr>
              <w:t>2469.87</w:t>
            </w:r>
          </w:p>
        </w:tc>
        <w:tc>
          <w:tcPr>
            <w:tcW w:w="1825" w:type="dxa"/>
            <w:noWrap/>
            <w:vAlign w:val="top"/>
          </w:tcPr>
          <w:p w14:paraId="3D0C2D5A">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color w:val="000000"/>
                <w:sz w:val="28"/>
                <w:szCs w:val="28"/>
                <w:lang w:val="en-US" w:eastAsia="zh-CN"/>
              </w:rPr>
              <w:t>82.95%</w:t>
            </w:r>
          </w:p>
        </w:tc>
      </w:tr>
    </w:tbl>
    <w:p w14:paraId="22AB9674">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宋体" w:hAnsi="宋体" w:eastAsia="宋体" w:cs="宋体"/>
          <w:color w:val="auto"/>
          <w:kern w:val="0"/>
          <w:sz w:val="32"/>
          <w:szCs w:val="32"/>
          <w:highlight w:val="none"/>
          <w:lang w:val="en-US" w:eastAsia="zh-CN"/>
        </w:rPr>
      </w:pPr>
    </w:p>
    <w:p w14:paraId="2AAEC7B3">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en-US"/>
        </w:rPr>
      </w:pPr>
      <w:r>
        <w:rPr>
          <w:rFonts w:hint="eastAsia" w:ascii="方正仿宋_GBK" w:hAnsi="方正仿宋_GBK" w:eastAsia="方正仿宋_GBK" w:cs="方正仿宋_GBK"/>
          <w:b w:val="0"/>
          <w:bCs w:val="0"/>
          <w:color w:val="auto"/>
          <w:kern w:val="0"/>
          <w:sz w:val="32"/>
          <w:szCs w:val="32"/>
          <w:highlight w:val="none"/>
          <w:lang w:val="en-US" w:eastAsia="zh-CN" w:bidi="en-US"/>
        </w:rPr>
        <w:t>2.“三公”经费情况</w:t>
      </w:r>
    </w:p>
    <w:p w14:paraId="44670D1E">
      <w:pPr>
        <w:pStyle w:val="22"/>
        <w:keepNext w:val="0"/>
        <w:keepLines w:val="0"/>
        <w:pageBreakBefore w:val="0"/>
        <w:kinsoku/>
        <w:wordWrap/>
        <w:overflowPunct/>
        <w:topLinePunct w:val="0"/>
        <w:autoSpaceDE/>
        <w:autoSpaceDN/>
        <w:bidi w:val="0"/>
        <w:spacing w:after="0" w:line="560" w:lineRule="exact"/>
        <w:ind w:firstLine="640" w:firstLineChars="200"/>
        <w:jc w:val="both"/>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南京市六一幼儿园（南京市市级机关第三幼儿园）2025年预算安排数2.74万元，其中：因公出国（境）费支出0万元；公务用车购置及运行维护费支出2.24万元，公务接待费支出0.5万元。调整后预算0.28万元，其中：因公出国（境）费支出0万元，公务用车购置及运行维护费支出0.28万元，调减1.96万元，主要原因是严格执行中央八项规定，从严控制公车运行维护费用；公务接待费决算支出0万元，调减0.5万元，主要原因是严格执行中央八项规定，厉行节约，从严控制公务接待范围及标准。</w:t>
      </w:r>
    </w:p>
    <w:p w14:paraId="7F22335D">
      <w:pPr>
        <w:pStyle w:val="22"/>
        <w:keepNext w:val="0"/>
        <w:keepLines w:val="0"/>
        <w:pageBreakBefore w:val="0"/>
        <w:kinsoku/>
        <w:wordWrap/>
        <w:overflowPunct/>
        <w:topLinePunct w:val="0"/>
        <w:autoSpaceDE/>
        <w:autoSpaceDN/>
        <w:bidi w:val="0"/>
        <w:spacing w:after="0" w:line="560" w:lineRule="exact"/>
        <w:ind w:firstLine="640" w:firstLineChars="200"/>
        <w:jc w:val="both"/>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2025年幼儿园“三公”经费实际支出0.28万元，预算执行率12.5%。其中：因公出国（境）费支出0万元；公务用车购置及运行维护费支出0.28万元，预算执行率12.5%；公务接待费决算支出0万元。</w:t>
      </w:r>
    </w:p>
    <w:p w14:paraId="60B8BC56">
      <w:pPr>
        <w:pStyle w:val="22"/>
        <w:keepNext w:val="0"/>
        <w:keepLines w:val="0"/>
        <w:pageBreakBefore w:val="0"/>
        <w:kinsoku/>
        <w:wordWrap/>
        <w:overflowPunct/>
        <w:topLinePunct w:val="0"/>
        <w:autoSpaceDE/>
        <w:autoSpaceDN/>
        <w:bidi w:val="0"/>
        <w:spacing w:after="0" w:line="560" w:lineRule="exact"/>
        <w:ind w:firstLine="640" w:firstLineChars="200"/>
        <w:jc w:val="both"/>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3.专项资金情况</w:t>
      </w:r>
    </w:p>
    <w:p w14:paraId="60BFE433">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en-US"/>
        </w:rPr>
      </w:pPr>
      <w:r>
        <w:rPr>
          <w:rFonts w:hint="eastAsia" w:ascii="方正仿宋_GBK" w:hAnsi="方正仿宋_GBK" w:eastAsia="方正仿宋_GBK" w:cs="方正仿宋_GBK"/>
          <w:b w:val="0"/>
          <w:bCs w:val="0"/>
          <w:color w:val="auto"/>
          <w:kern w:val="0"/>
          <w:sz w:val="32"/>
          <w:szCs w:val="32"/>
          <w:highlight w:val="none"/>
          <w:lang w:val="en-US" w:eastAsia="zh-CN" w:bidi="en-US"/>
        </w:rPr>
        <w:t>2025年，南京市六一幼儿园（南京市市级机关第三幼儿园）预算共涉及1个市级专项资金项目，年初预算安排1212.75万元，年中预算调减546.74万元，调整后预算数666.01万元，实际支出666.01万元，预算执行率54.92%，调整后预算执行率为100%。详见表2。</w:t>
      </w:r>
    </w:p>
    <w:p w14:paraId="3DA1FC9E">
      <w:pPr>
        <w:keepNext w:val="0"/>
        <w:keepLines w:val="0"/>
        <w:pageBreakBefore w:val="0"/>
        <w:kinsoku/>
        <w:wordWrap/>
        <w:overflowPunct/>
        <w:topLinePunct w:val="0"/>
        <w:autoSpaceDE/>
        <w:autoSpaceDN/>
        <w:bidi w:val="0"/>
        <w:adjustRightInd/>
        <w:spacing w:line="560" w:lineRule="exact"/>
        <w:ind w:firstLine="640" w:firstLineChars="200"/>
        <w:jc w:val="center"/>
        <w:textAlignment w:val="auto"/>
        <w:rPr>
          <w:rFonts w:hint="eastAsia" w:ascii="方正仿宋_GBK" w:hAnsi="方正仿宋_GBK" w:eastAsia="方正仿宋_GBK" w:cs="方正仿宋_GBK"/>
          <w:b/>
          <w:bCs/>
          <w:color w:val="auto"/>
          <w:kern w:val="0"/>
          <w:sz w:val="32"/>
          <w:szCs w:val="32"/>
          <w:highlight w:val="none"/>
        </w:rPr>
      </w:pPr>
      <w:r>
        <w:rPr>
          <w:rFonts w:hint="eastAsia" w:ascii="方正仿宋_GBK" w:hAnsi="方正仿宋_GBK" w:eastAsia="方正仿宋_GBK" w:cs="方正仿宋_GBK"/>
          <w:b/>
          <w:bCs/>
          <w:color w:val="auto"/>
          <w:kern w:val="0"/>
          <w:sz w:val="32"/>
          <w:szCs w:val="32"/>
          <w:highlight w:val="none"/>
        </w:rPr>
        <w:t xml:space="preserve">表2 </w:t>
      </w:r>
      <w:r>
        <w:rPr>
          <w:rFonts w:hint="eastAsia" w:ascii="方正仿宋_GBK" w:hAnsi="方正仿宋_GBK" w:eastAsia="方正仿宋_GBK" w:cs="方正仿宋_GBK"/>
          <w:b/>
          <w:bCs/>
          <w:color w:val="auto"/>
          <w:kern w:val="0"/>
          <w:sz w:val="32"/>
          <w:szCs w:val="32"/>
          <w:highlight w:val="none"/>
          <w:lang w:val="en-US" w:eastAsia="zh-CN"/>
        </w:rPr>
        <w:t xml:space="preserve"> </w:t>
      </w:r>
      <w:r>
        <w:rPr>
          <w:rFonts w:hint="eastAsia" w:ascii="方正仿宋_GBK" w:hAnsi="方正仿宋_GBK" w:eastAsia="方正仿宋_GBK" w:cs="方正仿宋_GBK"/>
          <w:b/>
          <w:bCs/>
          <w:color w:val="auto"/>
          <w:kern w:val="0"/>
          <w:sz w:val="32"/>
          <w:szCs w:val="32"/>
          <w:highlight w:val="none"/>
        </w:rPr>
        <w:t>202</w:t>
      </w:r>
      <w:r>
        <w:rPr>
          <w:rFonts w:hint="eastAsia" w:ascii="方正仿宋_GBK" w:hAnsi="方正仿宋_GBK" w:eastAsia="方正仿宋_GBK" w:cs="方正仿宋_GBK"/>
          <w:b/>
          <w:bCs/>
          <w:color w:val="auto"/>
          <w:kern w:val="0"/>
          <w:sz w:val="32"/>
          <w:szCs w:val="32"/>
          <w:highlight w:val="none"/>
          <w:lang w:val="en-US" w:eastAsia="zh-CN"/>
        </w:rPr>
        <w:t>5</w:t>
      </w:r>
      <w:r>
        <w:rPr>
          <w:rFonts w:hint="eastAsia" w:ascii="方正仿宋_GBK" w:hAnsi="方正仿宋_GBK" w:eastAsia="方正仿宋_GBK" w:cs="方正仿宋_GBK"/>
          <w:b/>
          <w:bCs/>
          <w:color w:val="auto"/>
          <w:kern w:val="0"/>
          <w:sz w:val="32"/>
          <w:szCs w:val="32"/>
          <w:highlight w:val="none"/>
        </w:rPr>
        <w:t>年南京市</w:t>
      </w:r>
      <w:r>
        <w:rPr>
          <w:rFonts w:hint="eastAsia" w:ascii="方正仿宋_GBK" w:hAnsi="方正仿宋_GBK" w:eastAsia="方正仿宋_GBK" w:cs="方正仿宋_GBK"/>
          <w:b/>
          <w:bCs/>
          <w:color w:val="auto"/>
          <w:kern w:val="0"/>
          <w:sz w:val="32"/>
          <w:szCs w:val="32"/>
          <w:highlight w:val="none"/>
          <w:lang w:eastAsia="zh-CN"/>
        </w:rPr>
        <w:t>六一幼儿园（南京市市级机关第三幼儿园）</w:t>
      </w:r>
      <w:r>
        <w:rPr>
          <w:rFonts w:hint="eastAsia" w:ascii="方正仿宋_GBK" w:hAnsi="方正仿宋_GBK" w:eastAsia="方正仿宋_GBK" w:cs="方正仿宋_GBK"/>
          <w:b/>
          <w:bCs/>
          <w:color w:val="auto"/>
          <w:kern w:val="0"/>
          <w:sz w:val="32"/>
          <w:szCs w:val="32"/>
          <w:highlight w:val="none"/>
        </w:rPr>
        <w:t>专项资金预算安排与支出情况</w:t>
      </w:r>
    </w:p>
    <w:p w14:paraId="560A47CE">
      <w:pPr>
        <w:keepNext w:val="0"/>
        <w:keepLines w:val="0"/>
        <w:pageBreakBefore w:val="0"/>
        <w:numPr>
          <w:ilvl w:val="0"/>
          <w:numId w:val="0"/>
        </w:numPr>
        <w:kinsoku/>
        <w:wordWrap/>
        <w:overflowPunct/>
        <w:topLinePunct w:val="0"/>
        <w:autoSpaceDE/>
        <w:autoSpaceDN/>
        <w:bidi w:val="0"/>
        <w:spacing w:line="560" w:lineRule="exact"/>
        <w:ind w:firstLine="640" w:firstLineChars="200"/>
        <w:jc w:val="right"/>
        <w:textAlignment w:val="auto"/>
        <w:rPr>
          <w:rFonts w:hint="eastAsia" w:ascii="方正仿宋_GBK" w:hAnsi="方正仿宋_GBK" w:eastAsia="方正仿宋_GBK" w:cs="方正仿宋_GBK"/>
          <w:color w:val="000000"/>
          <w:sz w:val="32"/>
          <w:szCs w:val="32"/>
          <w:highlight w:val="none"/>
          <w:lang w:val="en-US" w:eastAsia="zh-CN"/>
        </w:rPr>
      </w:pPr>
      <w:r>
        <w:rPr>
          <w:rFonts w:hint="eastAsia" w:ascii="方正仿宋_GBK" w:hAnsi="方正仿宋_GBK" w:eastAsia="方正仿宋_GBK" w:cs="方正仿宋_GBK"/>
          <w:b/>
          <w:bCs/>
          <w:color w:val="000000"/>
          <w:sz w:val="32"/>
          <w:szCs w:val="32"/>
          <w:highlight w:val="none"/>
          <w:lang w:val="en-US" w:eastAsia="zh-CN"/>
        </w:rPr>
        <w:t>单位：万元</w:t>
      </w:r>
    </w:p>
    <w:tbl>
      <w:tblPr>
        <w:tblStyle w:val="13"/>
        <w:tblW w:w="9232" w:type="dxa"/>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1465"/>
        <w:gridCol w:w="1339"/>
        <w:gridCol w:w="1361"/>
        <w:gridCol w:w="1304"/>
        <w:gridCol w:w="1536"/>
      </w:tblGrid>
      <w:tr w14:paraId="23EB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227" w:type="dxa"/>
            <w:noWrap w:val="0"/>
            <w:vAlign w:val="center"/>
          </w:tcPr>
          <w:p w14:paraId="1C9FDD14">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项目名称</w:t>
            </w:r>
          </w:p>
        </w:tc>
        <w:tc>
          <w:tcPr>
            <w:tcW w:w="1465" w:type="dxa"/>
            <w:noWrap w:val="0"/>
            <w:vAlign w:val="center"/>
          </w:tcPr>
          <w:p w14:paraId="331D38B4">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预算安排数</w:t>
            </w:r>
          </w:p>
        </w:tc>
        <w:tc>
          <w:tcPr>
            <w:tcW w:w="1339" w:type="dxa"/>
            <w:noWrap w:val="0"/>
            <w:vAlign w:val="center"/>
          </w:tcPr>
          <w:p w14:paraId="6048923E">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调整后预算数</w:t>
            </w:r>
          </w:p>
        </w:tc>
        <w:tc>
          <w:tcPr>
            <w:tcW w:w="1361" w:type="dxa"/>
            <w:noWrap w:val="0"/>
            <w:vAlign w:val="center"/>
          </w:tcPr>
          <w:p w14:paraId="14D97AFD">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实际支出数</w:t>
            </w:r>
          </w:p>
        </w:tc>
        <w:tc>
          <w:tcPr>
            <w:tcW w:w="1304" w:type="dxa"/>
            <w:noWrap w:val="0"/>
            <w:vAlign w:val="center"/>
          </w:tcPr>
          <w:p w14:paraId="79554ABC">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预算执行率</w:t>
            </w:r>
          </w:p>
        </w:tc>
        <w:tc>
          <w:tcPr>
            <w:tcW w:w="1536" w:type="dxa"/>
            <w:noWrap w:val="0"/>
            <w:vAlign w:val="center"/>
          </w:tcPr>
          <w:p w14:paraId="17062495">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28"/>
                <w:szCs w:val="28"/>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调整后预算执行率</w:t>
            </w:r>
          </w:p>
        </w:tc>
      </w:tr>
      <w:tr w14:paraId="1230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7" w:type="dxa"/>
            <w:noWrap w:val="0"/>
            <w:vAlign w:val="center"/>
          </w:tcPr>
          <w:p w14:paraId="11B5D84E">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仿宋_GBK" w:hAnsi="方正仿宋_GBK" w:eastAsia="方正仿宋_GBK" w:cs="方正仿宋_GBK"/>
                <w:color w:val="000000"/>
                <w:sz w:val="32"/>
                <w:szCs w:val="32"/>
                <w:highlight w:val="none"/>
                <w:vertAlign w:val="baseline"/>
                <w:lang w:val="en-US" w:eastAsia="zh-CN"/>
              </w:rPr>
            </w:pPr>
            <w:r>
              <w:rPr>
                <w:rFonts w:hint="eastAsia" w:ascii="方正仿宋_GBK" w:hAnsi="方正仿宋_GBK" w:eastAsia="方正仿宋_GBK" w:cs="方正仿宋_GBK"/>
                <w:color w:val="000000"/>
                <w:sz w:val="28"/>
                <w:szCs w:val="28"/>
                <w:highlight w:val="none"/>
                <w:vertAlign w:val="baseline"/>
                <w:lang w:val="en-US" w:eastAsia="zh-CN"/>
              </w:rPr>
              <w:t>2025年政府投资单体建设项目——六一幼儿园加固改造</w:t>
            </w:r>
          </w:p>
        </w:tc>
        <w:tc>
          <w:tcPr>
            <w:tcW w:w="1465" w:type="dxa"/>
            <w:noWrap w:val="0"/>
            <w:vAlign w:val="center"/>
          </w:tcPr>
          <w:p w14:paraId="4632346C">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1212.75</w:t>
            </w:r>
          </w:p>
        </w:tc>
        <w:tc>
          <w:tcPr>
            <w:tcW w:w="1339" w:type="dxa"/>
            <w:noWrap w:val="0"/>
            <w:vAlign w:val="center"/>
          </w:tcPr>
          <w:p w14:paraId="41C1EB65">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666.01</w:t>
            </w:r>
          </w:p>
        </w:tc>
        <w:tc>
          <w:tcPr>
            <w:tcW w:w="1361" w:type="dxa"/>
            <w:noWrap w:val="0"/>
            <w:vAlign w:val="center"/>
          </w:tcPr>
          <w:p w14:paraId="7152AC29">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eastAsia="仿宋_GB2312" w:cs="Times New Roman Regular"/>
                <w:color w:val="000000"/>
                <w:kern w:val="2"/>
                <w:sz w:val="32"/>
                <w:szCs w:val="32"/>
                <w:highlight w:val="none"/>
                <w:vertAlign w:val="baseline"/>
                <w:lang w:val="en-US" w:eastAsia="zh-CN" w:bidi="ar-SA"/>
              </w:rPr>
            </w:pPr>
            <w:r>
              <w:rPr>
                <w:rFonts w:hint="eastAsia" w:ascii="Times New Roman Regular" w:hAnsi="Times New Roman Regular" w:cs="Times New Roman Regular"/>
                <w:color w:val="000000"/>
                <w:sz w:val="32"/>
                <w:szCs w:val="32"/>
                <w:highlight w:val="none"/>
                <w:vertAlign w:val="baseline"/>
                <w:lang w:val="en-US" w:eastAsia="zh-CN"/>
              </w:rPr>
              <w:t>666.01</w:t>
            </w:r>
          </w:p>
        </w:tc>
        <w:tc>
          <w:tcPr>
            <w:tcW w:w="1304" w:type="dxa"/>
            <w:noWrap w:val="0"/>
            <w:vAlign w:val="center"/>
          </w:tcPr>
          <w:p w14:paraId="32D2992B">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54.92</w:t>
            </w:r>
            <w:r>
              <w:rPr>
                <w:rFonts w:hint="default" w:ascii="Times New Roman Regular" w:hAnsi="Times New Roman Regular" w:cs="Times New Roman Regular"/>
                <w:color w:val="000000"/>
                <w:sz w:val="32"/>
                <w:szCs w:val="32"/>
                <w:highlight w:val="none"/>
                <w:vertAlign w:val="baseline"/>
                <w:lang w:val="en-US" w:eastAsia="zh-CN"/>
              </w:rPr>
              <w:t>%</w:t>
            </w:r>
          </w:p>
        </w:tc>
        <w:tc>
          <w:tcPr>
            <w:tcW w:w="1536" w:type="dxa"/>
            <w:noWrap w:val="0"/>
            <w:vAlign w:val="center"/>
          </w:tcPr>
          <w:p w14:paraId="5392F361">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100%</w:t>
            </w:r>
          </w:p>
        </w:tc>
      </w:tr>
      <w:tr w14:paraId="7FC6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7" w:type="dxa"/>
            <w:noWrap w:val="0"/>
            <w:vAlign w:val="top"/>
          </w:tcPr>
          <w:p w14:paraId="07049803">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方正仿宋_GBK" w:hAnsi="方正仿宋_GBK" w:eastAsia="方正仿宋_GBK" w:cs="方正仿宋_GBK"/>
                <w:color w:val="000000"/>
                <w:sz w:val="32"/>
                <w:szCs w:val="32"/>
                <w:highlight w:val="none"/>
                <w:vertAlign w:val="baseline"/>
                <w:lang w:val="en-US" w:eastAsia="zh-CN"/>
              </w:rPr>
            </w:pPr>
            <w:r>
              <w:rPr>
                <w:rFonts w:hint="eastAsia" w:ascii="方正仿宋_GBK" w:hAnsi="方正仿宋_GBK" w:eastAsia="方正仿宋_GBK" w:cs="方正仿宋_GBK"/>
                <w:color w:val="000000"/>
                <w:sz w:val="32"/>
                <w:szCs w:val="32"/>
                <w:highlight w:val="none"/>
                <w:vertAlign w:val="baseline"/>
                <w:lang w:val="en-US" w:eastAsia="zh-CN"/>
              </w:rPr>
              <w:t>合计</w:t>
            </w:r>
          </w:p>
        </w:tc>
        <w:tc>
          <w:tcPr>
            <w:tcW w:w="1465" w:type="dxa"/>
            <w:noWrap w:val="0"/>
            <w:vAlign w:val="top"/>
          </w:tcPr>
          <w:p w14:paraId="011008C5">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1212.75</w:t>
            </w:r>
          </w:p>
        </w:tc>
        <w:tc>
          <w:tcPr>
            <w:tcW w:w="1339" w:type="dxa"/>
            <w:noWrap w:val="0"/>
            <w:vAlign w:val="top"/>
          </w:tcPr>
          <w:p w14:paraId="36354712">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666.01</w:t>
            </w:r>
          </w:p>
        </w:tc>
        <w:tc>
          <w:tcPr>
            <w:tcW w:w="1361" w:type="dxa"/>
            <w:noWrap w:val="0"/>
            <w:vAlign w:val="top"/>
          </w:tcPr>
          <w:p w14:paraId="19B9EAC5">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eastAsia="仿宋_GB2312" w:cs="Times New Roman Regular"/>
                <w:color w:val="000000"/>
                <w:kern w:val="2"/>
                <w:sz w:val="32"/>
                <w:szCs w:val="32"/>
                <w:highlight w:val="none"/>
                <w:vertAlign w:val="baseline"/>
                <w:lang w:val="en-US" w:eastAsia="zh-CN" w:bidi="ar-SA"/>
              </w:rPr>
            </w:pPr>
            <w:r>
              <w:rPr>
                <w:rFonts w:hint="eastAsia" w:ascii="Times New Roman Regular" w:hAnsi="Times New Roman Regular" w:cs="Times New Roman Regular"/>
                <w:color w:val="000000"/>
                <w:sz w:val="32"/>
                <w:szCs w:val="32"/>
                <w:highlight w:val="none"/>
                <w:vertAlign w:val="baseline"/>
                <w:lang w:val="en-US" w:eastAsia="zh-CN"/>
              </w:rPr>
              <w:t>666.01</w:t>
            </w:r>
          </w:p>
        </w:tc>
        <w:tc>
          <w:tcPr>
            <w:tcW w:w="1304" w:type="dxa"/>
            <w:noWrap w:val="0"/>
            <w:vAlign w:val="top"/>
          </w:tcPr>
          <w:p w14:paraId="60241B01">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54.92</w:t>
            </w:r>
            <w:r>
              <w:rPr>
                <w:rFonts w:hint="default" w:ascii="Times New Roman Regular" w:hAnsi="Times New Roman Regular" w:cs="Times New Roman Regular"/>
                <w:color w:val="000000"/>
                <w:sz w:val="32"/>
                <w:szCs w:val="32"/>
                <w:highlight w:val="none"/>
                <w:vertAlign w:val="baseline"/>
                <w:lang w:val="en-US" w:eastAsia="zh-CN"/>
              </w:rPr>
              <w:t>%</w:t>
            </w:r>
          </w:p>
        </w:tc>
        <w:tc>
          <w:tcPr>
            <w:tcW w:w="1536" w:type="dxa"/>
            <w:noWrap w:val="0"/>
            <w:vAlign w:val="top"/>
          </w:tcPr>
          <w:p w14:paraId="309A2E3A">
            <w:pPr>
              <w:keepNext w:val="0"/>
              <w:keepLines w:val="0"/>
              <w:pageBreakBefore w:val="0"/>
              <w:numPr>
                <w:ilvl w:val="0"/>
                <w:numId w:val="0"/>
              </w:numPr>
              <w:kinsoku/>
              <w:wordWrap/>
              <w:overflowPunct/>
              <w:topLinePunct w:val="0"/>
              <w:autoSpaceDE/>
              <w:autoSpaceDN/>
              <w:bidi w:val="0"/>
              <w:spacing w:line="560" w:lineRule="exact"/>
              <w:jc w:val="center"/>
              <w:textAlignment w:val="auto"/>
              <w:rPr>
                <w:rFonts w:hint="default" w:ascii="Times New Roman Regular" w:hAnsi="Times New Roman Regular" w:cs="Times New Roman Regular"/>
                <w:color w:val="000000"/>
                <w:sz w:val="32"/>
                <w:szCs w:val="32"/>
                <w:highlight w:val="none"/>
                <w:vertAlign w:val="baseline"/>
                <w:lang w:val="en-US" w:eastAsia="zh-CN"/>
              </w:rPr>
            </w:pPr>
            <w:r>
              <w:rPr>
                <w:rFonts w:hint="eastAsia" w:ascii="Times New Roman Regular" w:hAnsi="Times New Roman Regular" w:cs="Times New Roman Regular"/>
                <w:color w:val="000000"/>
                <w:sz w:val="32"/>
                <w:szCs w:val="32"/>
                <w:highlight w:val="none"/>
                <w:vertAlign w:val="baseline"/>
                <w:lang w:val="en-US" w:eastAsia="zh-CN"/>
              </w:rPr>
              <w:t>100%</w:t>
            </w:r>
          </w:p>
        </w:tc>
      </w:tr>
    </w:tbl>
    <w:p w14:paraId="5266C651">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 xml:space="preserve"> </w:t>
      </w:r>
    </w:p>
    <w:p w14:paraId="2F6B870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lang w:eastAsia="zh-CN"/>
        </w:rPr>
      </w:pPr>
      <w:r>
        <w:rPr>
          <w:rFonts w:hint="eastAsia" w:ascii="Times New Roman Regular" w:hAnsi="Times New Roman Regular" w:eastAsia="方正仿宋_GBK" w:cs="Times New Roman Regular"/>
          <w:spacing w:val="0"/>
          <w:sz w:val="32"/>
          <w:szCs w:val="22"/>
          <w:lang w:eastAsia="zh-CN"/>
        </w:rPr>
        <w:t>（三）部门（单位）绩效目标</w:t>
      </w:r>
    </w:p>
    <w:p w14:paraId="0679338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1.部门中长期目标</w:t>
      </w:r>
    </w:p>
    <w:p w14:paraId="7CAF676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以习近平新时代中国特色社会主义</w:t>
      </w:r>
      <w:r>
        <w:rPr>
          <w:rFonts w:hint="eastAsia" w:ascii="Times New Roman Regular" w:hAnsi="Times New Roman Regular" w:eastAsia="方正仿宋_GBK" w:cs="Times New Roman Regular"/>
          <w:spacing w:val="0"/>
          <w:sz w:val="32"/>
          <w:szCs w:val="22"/>
          <w:lang w:eastAsia="zh-CN"/>
        </w:rPr>
        <w:t>思想、党的二十大</w:t>
      </w:r>
      <w:r>
        <w:rPr>
          <w:rFonts w:hint="eastAsia" w:ascii="Times New Roman Regular" w:hAnsi="Times New Roman Regular" w:eastAsia="方正仿宋_GBK" w:cs="Times New Roman Regular"/>
          <w:spacing w:val="0"/>
          <w:sz w:val="32"/>
          <w:szCs w:val="22"/>
        </w:rPr>
        <w:t>精神为指导，全面领会</w:t>
      </w:r>
      <w:r>
        <w:rPr>
          <w:rFonts w:hint="eastAsia" w:ascii="Times New Roman Regular" w:hAnsi="Times New Roman Regular" w:eastAsia="方正仿宋_GBK" w:cs="Times New Roman Regular"/>
          <w:spacing w:val="0"/>
          <w:sz w:val="32"/>
          <w:szCs w:val="22"/>
          <w:lang w:eastAsia="zh-CN"/>
        </w:rPr>
        <w:t>党的二十大</w:t>
      </w:r>
      <w:r>
        <w:rPr>
          <w:rFonts w:hint="eastAsia" w:ascii="Times New Roman Regular" w:hAnsi="Times New Roman Regular" w:eastAsia="方正仿宋_GBK" w:cs="Times New Roman Regular"/>
          <w:spacing w:val="0"/>
          <w:sz w:val="32"/>
          <w:szCs w:val="22"/>
        </w:rPr>
        <w:t>核心要义，按照中央、省市区教育工作会议的要求，坚持“平稳转型、文化立园、内涵发展”的办园策略，深化教育科研，探索科学化、民主化、人本化的幼儿园管理新思路，进一步推动幼儿园高质量发展。</w:t>
      </w:r>
    </w:p>
    <w:p w14:paraId="4543C23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（1）</w:t>
      </w:r>
      <w:r>
        <w:rPr>
          <w:rFonts w:hint="eastAsia" w:ascii="Times New Roman Regular" w:hAnsi="Times New Roman Regular" w:eastAsia="方正仿宋_GBK" w:cs="Times New Roman Regular"/>
          <w:spacing w:val="0"/>
          <w:sz w:val="32"/>
          <w:szCs w:val="22"/>
        </w:rPr>
        <w:t>组织管理</w:t>
      </w:r>
    </w:p>
    <w:p w14:paraId="75D293A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坚持“以人为本”，形成“民主</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互动”的精细化幼儿园管理体系；进一步完善幼儿园各项管理制度，使每位教职工投入充分的积极性、主动性、创造性关注幼儿园的发展，产生健康、合作、关怀的情感，自觉为实现共同目标而努力。</w:t>
      </w:r>
    </w:p>
    <w:p w14:paraId="2A59FD6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（2）</w:t>
      </w:r>
      <w:r>
        <w:rPr>
          <w:rFonts w:hint="eastAsia" w:ascii="Times New Roman Regular" w:hAnsi="Times New Roman Regular" w:eastAsia="方正仿宋_GBK" w:cs="Times New Roman Regular"/>
          <w:spacing w:val="0"/>
          <w:sz w:val="32"/>
          <w:szCs w:val="22"/>
        </w:rPr>
        <w:t>教师队伍建设</w:t>
      </w:r>
    </w:p>
    <w:p w14:paraId="61B5EBC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打造一支优秀的教师团队，塑造师</w:t>
      </w:r>
      <w:r>
        <w:rPr>
          <w:rFonts w:hint="eastAsia" w:ascii="Times New Roman Regular" w:hAnsi="Times New Roman Regular" w:eastAsia="方正仿宋_GBK" w:cs="Times New Roman Regular"/>
          <w:spacing w:val="0"/>
          <w:sz w:val="32"/>
          <w:szCs w:val="22"/>
          <w:lang w:eastAsia="zh-CN"/>
        </w:rPr>
        <w:t>德</w:t>
      </w:r>
      <w:r>
        <w:rPr>
          <w:rFonts w:hint="eastAsia" w:ascii="Times New Roman Regular" w:hAnsi="Times New Roman Regular" w:eastAsia="方正仿宋_GBK" w:cs="Times New Roman Regular"/>
          <w:spacing w:val="0"/>
          <w:sz w:val="32"/>
          <w:szCs w:val="22"/>
        </w:rPr>
        <w:t>高尚、理念先进、素质精良、具有团队精神的创新型、示范型、研究型教师队伍；健全与教师个性特长相匹配的自主发展机制，形成一批有一定影</w:t>
      </w:r>
      <w:r>
        <w:rPr>
          <w:rFonts w:hint="eastAsia" w:ascii="Times New Roman Regular" w:hAnsi="Times New Roman Regular" w:eastAsia="方正仿宋_GBK" w:cs="Times New Roman Regular"/>
          <w:spacing w:val="0"/>
          <w:sz w:val="32"/>
          <w:szCs w:val="22"/>
          <w:lang w:eastAsia="zh-CN"/>
        </w:rPr>
        <w:t>响力</w:t>
      </w:r>
      <w:r>
        <w:rPr>
          <w:rFonts w:hint="eastAsia" w:ascii="Times New Roman Regular" w:hAnsi="Times New Roman Regular" w:eastAsia="方正仿宋_GBK" w:cs="Times New Roman Regular"/>
          <w:spacing w:val="0"/>
          <w:sz w:val="32"/>
          <w:szCs w:val="22"/>
        </w:rPr>
        <w:t>的教学骨干与特色教师，培养一支能胜任班级管理的教学团队和一支人员敬业奉献、开拓进取的保育、后勤队伍。</w:t>
      </w:r>
    </w:p>
    <w:p w14:paraId="765549B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（3）</w:t>
      </w:r>
      <w:r>
        <w:rPr>
          <w:rFonts w:hint="eastAsia" w:ascii="Times New Roman Regular" w:hAnsi="Times New Roman Regular" w:eastAsia="方正仿宋_GBK" w:cs="Times New Roman Regular"/>
          <w:spacing w:val="0"/>
          <w:sz w:val="32"/>
          <w:szCs w:val="22"/>
        </w:rPr>
        <w:t>日常保教</w:t>
      </w:r>
    </w:p>
    <w:p w14:paraId="684C9940">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为每个幼儿提供充分自主、和谐、快乐、健康发展的教育机会与条件，发展幼儿的多元智能；注重课程建设的实践性、有效性、务实性，把生活教育寓于一日活动中，构建具有整合性、开放性特征的课程体系。</w:t>
      </w:r>
    </w:p>
    <w:p w14:paraId="2F65842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（4）</w:t>
      </w:r>
      <w:r>
        <w:rPr>
          <w:rFonts w:hint="eastAsia" w:ascii="Times New Roman Regular" w:hAnsi="Times New Roman Regular" w:eastAsia="方正仿宋_GBK" w:cs="Times New Roman Regular"/>
          <w:spacing w:val="0"/>
          <w:sz w:val="32"/>
          <w:szCs w:val="22"/>
        </w:rPr>
        <w:t>教育科研</w:t>
      </w:r>
    </w:p>
    <w:p w14:paraId="5C74EC8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在党的二十大精神引领下，幼儿园用课题研究有效解决课程改革中的实际问题，注重课程资源开发利用，不断提高教科研工作的针对性与实效性；进一步全面推进幼儿园科研工作管理的自我调整、自我完善的良性机制的形成，走有自己特色的教育科研之路。</w:t>
      </w:r>
    </w:p>
    <w:p w14:paraId="0D3C4E8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（5）</w:t>
      </w:r>
      <w:r>
        <w:rPr>
          <w:rFonts w:hint="eastAsia" w:ascii="Times New Roman Regular" w:hAnsi="Times New Roman Regular" w:eastAsia="方正仿宋_GBK" w:cs="Times New Roman Regular"/>
          <w:spacing w:val="0"/>
          <w:sz w:val="32"/>
          <w:szCs w:val="22"/>
        </w:rPr>
        <w:t>家园互动</w:t>
      </w:r>
    </w:p>
    <w:p w14:paraId="38CC2F0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树立服务意识和品牌意识，探索更合理的幼儿园教育与家庭教育优势互补模式，发挥幼儿园优质教育资源辐射作用，加强对社区、家庭的教育宣传和沟通工作，实现共同提升、教育双赢。</w:t>
      </w:r>
    </w:p>
    <w:p w14:paraId="6F965A6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val="en-US" w:eastAsia="zh-CN"/>
        </w:rPr>
        <w:t>（6）</w:t>
      </w:r>
      <w:r>
        <w:rPr>
          <w:rFonts w:hint="eastAsia" w:ascii="Times New Roman Regular" w:hAnsi="Times New Roman Regular" w:eastAsia="方正仿宋_GBK" w:cs="Times New Roman Regular"/>
          <w:spacing w:val="0"/>
          <w:sz w:val="32"/>
          <w:szCs w:val="22"/>
        </w:rPr>
        <w:t>环境设施</w:t>
      </w:r>
    </w:p>
    <w:p w14:paraId="1567EE0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争取多方支持和配合，加快幼儿园原址加固改造进程；在过渡园区进一步优化校园环境，共同促进幼儿园整体文化建设，打造活力成长人文环境，突显育人特色；形成宽敞、优美、富有文化的幼儿园整体氛围，促进师生共同发展。</w:t>
      </w:r>
    </w:p>
    <w:p w14:paraId="0D1001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2.年度目标</w:t>
      </w:r>
    </w:p>
    <w:p w14:paraId="1482AE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坚持以习近平新时代中国特色社会主义思想为指导，全面贯彻</w:t>
      </w:r>
      <w:r>
        <w:rPr>
          <w:rFonts w:hint="eastAsia" w:ascii="Times New Roman Regular" w:hAnsi="Times New Roman Regular" w:eastAsia="方正仿宋_GBK" w:cs="Times New Roman Regular"/>
          <w:spacing w:val="0"/>
          <w:sz w:val="32"/>
          <w:szCs w:val="22"/>
          <w:lang w:eastAsia="zh-CN"/>
        </w:rPr>
        <w:t>党的二十大和二十届二中、三中全会精神</w:t>
      </w:r>
      <w:r>
        <w:rPr>
          <w:rFonts w:hint="eastAsia" w:ascii="Times New Roman Regular" w:hAnsi="Times New Roman Regular" w:eastAsia="方正仿宋_GBK" w:cs="Times New Roman Regular"/>
          <w:spacing w:val="0"/>
          <w:sz w:val="32"/>
          <w:szCs w:val="22"/>
        </w:rPr>
        <w:t>，深入</w:t>
      </w:r>
      <w:r>
        <w:rPr>
          <w:rFonts w:hint="eastAsia" w:ascii="Times New Roman Regular" w:hAnsi="Times New Roman Regular" w:eastAsia="方正仿宋_GBK" w:cs="Times New Roman Regular"/>
          <w:spacing w:val="0"/>
          <w:sz w:val="32"/>
          <w:szCs w:val="22"/>
          <w:lang w:eastAsia="zh-CN"/>
        </w:rPr>
        <w:t>学习贯彻习近平总书记关于教育</w:t>
      </w:r>
      <w:r>
        <w:rPr>
          <w:rFonts w:hint="eastAsia" w:ascii="Times New Roman Regular" w:hAnsi="Times New Roman Regular" w:eastAsia="方正仿宋_GBK" w:cs="Times New Roman Regular"/>
          <w:spacing w:val="0"/>
          <w:sz w:val="32"/>
          <w:szCs w:val="22"/>
        </w:rPr>
        <w:t>的重要论述。以《中华人民共和国学前教育法</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幼儿园教育指导纲要</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3-6岁儿童学习与发展</w:t>
      </w:r>
      <w:r>
        <w:rPr>
          <w:rFonts w:hint="eastAsia" w:ascii="Times New Roman Regular" w:hAnsi="Times New Roman Regular" w:eastAsia="方正仿宋_GBK" w:cs="Times New Roman Regular"/>
          <w:spacing w:val="0"/>
          <w:sz w:val="32"/>
          <w:szCs w:val="22"/>
          <w:lang w:eastAsia="zh-CN"/>
        </w:rPr>
        <w:t>指南》和《幼儿园</w:t>
      </w:r>
      <w:r>
        <w:rPr>
          <w:rFonts w:hint="eastAsia" w:ascii="Times New Roman Regular" w:hAnsi="Times New Roman Regular" w:eastAsia="方正仿宋_GBK" w:cs="Times New Roman Regular"/>
          <w:spacing w:val="0"/>
          <w:sz w:val="32"/>
          <w:szCs w:val="22"/>
        </w:rPr>
        <w:t>保育教育质量评估指南》为指引，依法办园，落实立德树人根本任务，以提升教师整体素质为切入点，进一步强化主体责任意识、服务意识、创新创优意识，以发展内涵、课程建设为重点，助推幼儿园高质量发展。</w:t>
      </w:r>
    </w:p>
    <w:p w14:paraId="4F79878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lang w:val="en-US" w:eastAsia="zh-CN"/>
        </w:rPr>
        <w:t>1</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坚持党建引领，强化思想政治建设</w:t>
      </w:r>
    </w:p>
    <w:p w14:paraId="7553813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深入贯彻</w:t>
      </w:r>
      <w:r>
        <w:rPr>
          <w:rFonts w:hint="eastAsia" w:ascii="Times New Roman Regular" w:hAnsi="Times New Roman Regular" w:eastAsia="方正仿宋_GBK" w:cs="Times New Roman Regular"/>
          <w:spacing w:val="0"/>
          <w:sz w:val="32"/>
          <w:szCs w:val="22"/>
          <w:lang w:eastAsia="zh-CN"/>
        </w:rPr>
        <w:t>党的二十大和二十届二中、三中全会精神，落实</w:t>
      </w:r>
      <w:r>
        <w:rPr>
          <w:rFonts w:hint="eastAsia" w:ascii="Times New Roman Regular" w:hAnsi="Times New Roman Regular" w:eastAsia="方正仿宋_GBK" w:cs="Times New Roman Regular"/>
          <w:spacing w:val="0"/>
          <w:sz w:val="32"/>
          <w:szCs w:val="22"/>
        </w:rPr>
        <w:t>习近平新时代中国特色社会主义思想，把党的政治建设放在首位，开展多层面形式多样的学习教育活动，提升党员干部的政治理论水平和综合素养。打造“活力六一”党建品牌，开展党建创新研究与实践，推进优秀党支部创建。</w:t>
      </w:r>
    </w:p>
    <w:p w14:paraId="31B895B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default" w:ascii="Times New Roman" w:hAnsi="Times New Roman" w:eastAsia="方正仿宋_GBK" w:cs="Times New Roman"/>
          <w:spacing w:val="0"/>
          <w:sz w:val="32"/>
          <w:szCs w:val="22"/>
          <w:lang w:eastAsia="zh-CN"/>
        </w:rPr>
        <w:t>（</w:t>
      </w:r>
      <w:r>
        <w:rPr>
          <w:rFonts w:hint="default" w:ascii="Times New Roman" w:hAnsi="Times New Roman" w:eastAsia="方正仿宋_GBK" w:cs="Times New Roman"/>
          <w:spacing w:val="0"/>
          <w:sz w:val="32"/>
          <w:szCs w:val="22"/>
          <w:lang w:val="en-US" w:eastAsia="zh-CN"/>
        </w:rPr>
        <w:t>2</w:t>
      </w:r>
      <w:r>
        <w:rPr>
          <w:rFonts w:hint="default" w:ascii="Times New Roman" w:hAnsi="Times New Roman" w:eastAsia="方正仿宋_GBK" w:cs="Times New Roman"/>
          <w:spacing w:val="0"/>
          <w:sz w:val="32"/>
          <w:szCs w:val="22"/>
          <w:lang w:eastAsia="zh-CN"/>
        </w:rPr>
        <w:t>）</w:t>
      </w:r>
      <w:r>
        <w:rPr>
          <w:rFonts w:hint="eastAsia" w:ascii="Times New Roman Regular" w:hAnsi="Times New Roman Regular" w:eastAsia="方正仿宋_GBK" w:cs="Times New Roman Regular"/>
          <w:spacing w:val="0"/>
          <w:sz w:val="32"/>
          <w:szCs w:val="22"/>
        </w:rPr>
        <w:t>聚焦队伍建设，赋能幼儿园质量发展</w:t>
      </w:r>
    </w:p>
    <w:p w14:paraId="7A64557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 xml:space="preserve"> 以“</w:t>
      </w:r>
      <w:r>
        <w:rPr>
          <w:rFonts w:hint="eastAsia" w:ascii="Times New Roman Regular" w:hAnsi="Times New Roman Regular" w:eastAsia="方正仿宋_GBK" w:cs="Times New Roman Regular"/>
          <w:spacing w:val="0"/>
          <w:sz w:val="32"/>
          <w:szCs w:val="22"/>
          <w:lang w:eastAsia="zh-CN"/>
        </w:rPr>
        <w:t>办好人民满意的教育</w:t>
      </w:r>
      <w:r>
        <w:rPr>
          <w:rFonts w:hint="eastAsia" w:ascii="Times New Roman Regular" w:hAnsi="Times New Roman Regular" w:eastAsia="方正仿宋_GBK" w:cs="Times New Roman Regular"/>
          <w:spacing w:val="0"/>
          <w:sz w:val="32"/>
          <w:szCs w:val="22"/>
        </w:rPr>
        <w:t>”为目标，以教育家精神引领、更新教师师德观念，规范师德行为，深化师德师风建设；注重教师专业素养和综合素质的全面提升，建立多维度的教师培养体系。</w:t>
      </w:r>
    </w:p>
    <w:p w14:paraId="37CA745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lang w:val="en-US" w:eastAsia="zh-CN"/>
        </w:rPr>
        <w:t>3</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优化课程建设，关注幼儿全面发展</w:t>
      </w:r>
    </w:p>
    <w:p w14:paraId="4516F4F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为幼儿创设深度学习的环境，根据幼儿发展水平和兴趣点，设计学习任务，激发幼儿学习动力和潜能；继续拓展现有课程评价维度，加强过程性评价，全面观察幼儿多方面发展情况，关注幼儿个体差异，确保每位幼儿都能得到发展；结合幼儿园研究现状，拓展适合幼儿“有活力地成长”的课程内容；创设适合婴幼儿身心发展需要的硬件环境，进一步推进0-3岁教师团队建设，为优质托育园的创建奠定基础。</w:t>
      </w:r>
    </w:p>
    <w:p w14:paraId="4D14310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lang w:val="en-US" w:eastAsia="zh-CN"/>
        </w:rPr>
        <w:t>4</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加强后勤服务，呵护幼儿身心健康</w:t>
      </w:r>
    </w:p>
    <w:p w14:paraId="181EC11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rPr>
      </w:pPr>
      <w:r>
        <w:rPr>
          <w:rFonts w:hint="eastAsia" w:ascii="Times New Roman Regular" w:hAnsi="Times New Roman Regular" w:eastAsia="方正仿宋_GBK" w:cs="Times New Roman Regular"/>
          <w:spacing w:val="0"/>
          <w:sz w:val="32"/>
          <w:szCs w:val="22"/>
        </w:rPr>
        <w:t>做好保教人员保育培训</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加强三教轮保工作指导</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行之有效地落实好日常保育工作。根据教育局与市监局相关规定和法律法规</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进一步提高食品安全法律意识</w:t>
      </w:r>
      <w:r>
        <w:rPr>
          <w:rFonts w:hint="eastAsia" w:ascii="Times New Roman Regular" w:hAnsi="Times New Roman Regular" w:eastAsia="方正仿宋_GBK" w:cs="Times New Roman Regular"/>
          <w:spacing w:val="0"/>
          <w:sz w:val="32"/>
          <w:szCs w:val="22"/>
          <w:lang w:eastAsia="zh-CN"/>
        </w:rPr>
        <w:t>；</w:t>
      </w:r>
      <w:r>
        <w:rPr>
          <w:rFonts w:hint="eastAsia" w:ascii="Times New Roman Regular" w:hAnsi="Times New Roman Regular" w:eastAsia="方正仿宋_GBK" w:cs="Times New Roman Regular"/>
          <w:spacing w:val="0"/>
          <w:sz w:val="32"/>
          <w:szCs w:val="22"/>
        </w:rPr>
        <w:t>依据幼儿营养需求，制定科学合理的食谱，确保幼儿的伙食营养丰富，幼儿喜欢，家长认可。</w:t>
      </w:r>
      <w:r>
        <w:rPr>
          <w:rFonts w:hint="eastAsia" w:ascii="Times New Roman Regular" w:hAnsi="Times New Roman Regular" w:eastAsia="方正仿宋_GBK" w:cs="Times New Roman Regular"/>
          <w:spacing w:val="0"/>
          <w:sz w:val="32"/>
          <w:szCs w:val="22"/>
          <w:lang w:eastAsia="zh-CN"/>
        </w:rPr>
        <w:t>增强</w:t>
      </w:r>
      <w:r>
        <w:rPr>
          <w:rFonts w:hint="eastAsia" w:ascii="Times New Roman Regular" w:hAnsi="Times New Roman Regular" w:eastAsia="方正仿宋_GBK" w:cs="Times New Roman Regular"/>
          <w:spacing w:val="0"/>
          <w:sz w:val="32"/>
          <w:szCs w:val="22"/>
        </w:rPr>
        <w:t>全体教职员工安全意识，园内各项安全工作做到定人定岗定责；加强教职工各类安全培训，并定期组织全园师生进行各类疏散演练活动，增强全体师生安全意识，提高突发事件应对能力。继续紧密围绕幼儿园加固改造项目积极与各单位、各部门加强沟通与联系，保证项目按时完成。</w:t>
      </w:r>
    </w:p>
    <w:p w14:paraId="6F4D6E3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lang w:eastAsia="zh-CN"/>
        </w:rPr>
        <w:t>二、</w:t>
      </w:r>
      <w:r>
        <w:rPr>
          <w:rFonts w:hint="eastAsia" w:ascii="黑体" w:hAnsi="黑体" w:eastAsia="黑体" w:cs="黑体"/>
          <w:b/>
          <w:bCs/>
          <w:color w:val="auto"/>
          <w:kern w:val="0"/>
          <w:sz w:val="32"/>
          <w:szCs w:val="32"/>
          <w:highlight w:val="none"/>
        </w:rPr>
        <w:t>评价结论</w:t>
      </w:r>
    </w:p>
    <w:p w14:paraId="4EE0CF0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lang w:eastAsia="zh-CN"/>
        </w:rPr>
      </w:pPr>
      <w:r>
        <w:rPr>
          <w:rFonts w:hint="eastAsia" w:ascii="Times New Roman Regular" w:hAnsi="Times New Roman Regular" w:eastAsia="方正仿宋_GBK" w:cs="Times New Roman Regular"/>
          <w:spacing w:val="0"/>
          <w:sz w:val="32"/>
          <w:szCs w:val="22"/>
          <w:lang w:eastAsia="zh-CN"/>
        </w:rPr>
        <w:t>（一）评价对象与范围</w:t>
      </w:r>
    </w:p>
    <w:p w14:paraId="221C66E5">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lang w:eastAsia="zh-CN"/>
        </w:rPr>
      </w:pPr>
      <w:bookmarkStart w:id="0" w:name="_Toc157713194"/>
      <w:bookmarkStart w:id="1" w:name="_Toc178059781"/>
      <w:r>
        <w:rPr>
          <w:rFonts w:hint="eastAsia" w:ascii="Times New Roman Regular" w:hAnsi="Times New Roman Regular" w:eastAsia="方正仿宋_GBK" w:cs="Times New Roman Regular"/>
          <w:spacing w:val="0"/>
          <w:sz w:val="32"/>
          <w:szCs w:val="22"/>
          <w:lang w:eastAsia="zh-CN"/>
        </w:rPr>
        <w:t>本次评价对象为南京市六一幼儿园（南京市市级机关第三幼儿园）部门整体资金</w:t>
      </w:r>
      <w:r>
        <w:rPr>
          <w:rFonts w:hint="eastAsia" w:ascii="Times New Roman Regular" w:hAnsi="Times New Roman Regular" w:eastAsia="方正仿宋_GBK" w:cs="Times New Roman Regular"/>
          <w:spacing w:val="0"/>
          <w:sz w:val="32"/>
          <w:szCs w:val="22"/>
          <w:lang w:val="en-US" w:eastAsia="zh-CN"/>
        </w:rPr>
        <w:t>2469.87</w:t>
      </w:r>
      <w:r>
        <w:rPr>
          <w:rFonts w:hint="eastAsia" w:ascii="Times New Roman Regular" w:hAnsi="Times New Roman Regular" w:eastAsia="方正仿宋_GBK" w:cs="Times New Roman Regular"/>
          <w:spacing w:val="0"/>
          <w:sz w:val="32"/>
          <w:szCs w:val="22"/>
          <w:lang w:eastAsia="zh-CN"/>
        </w:rPr>
        <w:t>万元，包括基本支出和项目支出。重点关注202</w:t>
      </w:r>
      <w:r>
        <w:rPr>
          <w:rFonts w:hint="eastAsia" w:ascii="Times New Roman Regular" w:hAnsi="Times New Roman Regular" w:eastAsia="方正仿宋_GBK" w:cs="Times New Roman Regular"/>
          <w:spacing w:val="0"/>
          <w:sz w:val="32"/>
          <w:szCs w:val="22"/>
          <w:lang w:val="en-US" w:eastAsia="zh-CN"/>
        </w:rPr>
        <w:t>5</w:t>
      </w:r>
      <w:r>
        <w:rPr>
          <w:rFonts w:hint="eastAsia" w:ascii="Times New Roman Regular" w:hAnsi="Times New Roman Regular" w:eastAsia="方正仿宋_GBK" w:cs="Times New Roman Regular"/>
          <w:spacing w:val="0"/>
          <w:sz w:val="32"/>
          <w:szCs w:val="22"/>
          <w:lang w:eastAsia="zh-CN"/>
        </w:rPr>
        <w:t>年政府投资单体建设项目——六一幼儿园加固改造专项支出</w:t>
      </w:r>
      <w:r>
        <w:rPr>
          <w:rFonts w:hint="eastAsia" w:ascii="Times New Roman Regular" w:hAnsi="Times New Roman Regular" w:eastAsia="方正仿宋_GBK" w:cs="Times New Roman Regular"/>
          <w:spacing w:val="0"/>
          <w:sz w:val="32"/>
          <w:szCs w:val="22"/>
          <w:lang w:val="en-US" w:eastAsia="zh-CN"/>
        </w:rPr>
        <w:t>。</w:t>
      </w:r>
      <w:r>
        <w:rPr>
          <w:rFonts w:hint="eastAsia" w:ascii="Times New Roman Regular" w:hAnsi="Times New Roman Regular" w:eastAsia="方正仿宋_GBK" w:cs="Times New Roman Regular"/>
          <w:spacing w:val="0"/>
          <w:sz w:val="32"/>
          <w:szCs w:val="22"/>
          <w:lang w:eastAsia="zh-CN"/>
        </w:rPr>
        <w:t>评价时段为202</w:t>
      </w:r>
      <w:r>
        <w:rPr>
          <w:rFonts w:hint="eastAsia" w:ascii="Times New Roman Regular" w:hAnsi="Times New Roman Regular" w:eastAsia="方正仿宋_GBK" w:cs="Times New Roman Regular"/>
          <w:spacing w:val="0"/>
          <w:sz w:val="32"/>
          <w:szCs w:val="22"/>
          <w:lang w:val="en-US" w:eastAsia="zh-CN"/>
        </w:rPr>
        <w:t>5</w:t>
      </w:r>
      <w:r>
        <w:rPr>
          <w:rFonts w:hint="eastAsia" w:ascii="Times New Roman Regular" w:hAnsi="Times New Roman Regular" w:eastAsia="方正仿宋_GBK" w:cs="Times New Roman Regular"/>
          <w:spacing w:val="0"/>
          <w:sz w:val="32"/>
          <w:szCs w:val="22"/>
          <w:lang w:eastAsia="zh-CN"/>
        </w:rPr>
        <w:t>年1月1日至12月31日。</w:t>
      </w:r>
    </w:p>
    <w:p w14:paraId="432867B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Regular" w:hAnsi="Times New Roman Regular" w:eastAsia="方正仿宋_GBK" w:cs="Times New Roman Regular"/>
          <w:spacing w:val="0"/>
          <w:sz w:val="32"/>
          <w:szCs w:val="22"/>
          <w:lang w:eastAsia="zh-CN"/>
        </w:rPr>
      </w:pPr>
      <w:r>
        <w:rPr>
          <w:rFonts w:hint="eastAsia" w:ascii="Times New Roman Regular" w:hAnsi="Times New Roman Regular" w:eastAsia="方正仿宋_GBK" w:cs="Times New Roman Regular"/>
          <w:spacing w:val="0"/>
          <w:sz w:val="32"/>
          <w:szCs w:val="22"/>
          <w:lang w:eastAsia="zh-CN"/>
        </w:rPr>
        <w:t>（二）绩效评价结论</w:t>
      </w:r>
      <w:bookmarkEnd w:id="0"/>
      <w:bookmarkEnd w:id="1"/>
    </w:p>
    <w:p w14:paraId="56DD8AF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pacing w:val="0"/>
          <w:sz w:val="32"/>
          <w:szCs w:val="22"/>
          <w:lang w:eastAsia="zh-CN"/>
        </w:rPr>
      </w:pPr>
      <w:r>
        <w:rPr>
          <w:rFonts w:hint="eastAsia" w:ascii="方正仿宋_GBK" w:hAnsi="方正仿宋_GBK" w:eastAsia="方正仿宋_GBK" w:cs="方正仿宋_GBK"/>
          <w:spacing w:val="0"/>
          <w:sz w:val="32"/>
          <w:szCs w:val="22"/>
          <w:lang w:eastAsia="zh-CN"/>
        </w:rPr>
        <w:t>经综合评价，202</w:t>
      </w:r>
      <w:r>
        <w:rPr>
          <w:rFonts w:hint="eastAsia" w:ascii="方正仿宋_GBK" w:hAnsi="方正仿宋_GBK" w:eastAsia="方正仿宋_GBK" w:cs="方正仿宋_GBK"/>
          <w:spacing w:val="0"/>
          <w:sz w:val="32"/>
          <w:szCs w:val="22"/>
          <w:lang w:val="en-US" w:eastAsia="zh-CN"/>
        </w:rPr>
        <w:t>5</w:t>
      </w:r>
      <w:r>
        <w:rPr>
          <w:rFonts w:hint="eastAsia" w:ascii="方正仿宋_GBK" w:hAnsi="方正仿宋_GBK" w:eastAsia="方正仿宋_GBK" w:cs="方正仿宋_GBK"/>
          <w:spacing w:val="0"/>
          <w:sz w:val="32"/>
          <w:szCs w:val="22"/>
          <w:lang w:eastAsia="zh-CN"/>
        </w:rPr>
        <w:t>年度南京市六一幼儿园（南京市市级机关第三幼儿园）整体绩效评价得分99分，等级为“优”。整体而言，2025年，幼儿园以“规范、提质、创新、发展”为总体思路，以《中华人民共和国学前教育法》《3-6岁儿童学习与发展指南》和《幼儿园保育教育质量评估指南》为纲领，聚焦内涵提升与品质塑造，通过党建引领、业务精进、后勤保障三维发力，全面提升办园科学化、专业化水平，但也存在绩效指标设定科学性、准确性、全面性不够的问题，拟构建更为科学、准确、全面的绩效指标体系，提升绩效指标与年度目标、重点工作的匹配度。</w:t>
      </w:r>
    </w:p>
    <w:p w14:paraId="35DCAE0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lang w:eastAsia="zh-CN"/>
        </w:rPr>
        <w:t>三、</w:t>
      </w:r>
      <w:r>
        <w:rPr>
          <w:rFonts w:hint="eastAsia" w:ascii="黑体" w:hAnsi="黑体" w:eastAsia="黑体" w:cs="黑体"/>
          <w:b/>
          <w:bCs/>
          <w:color w:val="auto"/>
          <w:kern w:val="0"/>
          <w:sz w:val="32"/>
          <w:szCs w:val="32"/>
          <w:highlight w:val="none"/>
        </w:rPr>
        <w:t>部门履职成效</w:t>
      </w:r>
    </w:p>
    <w:p w14:paraId="390247B3">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pacing w:val="0"/>
          <w:kern w:val="2"/>
          <w:sz w:val="32"/>
          <w:szCs w:val="22"/>
          <w:lang w:val="en-US" w:eastAsia="zh-CN" w:bidi="ar-SA"/>
        </w:rPr>
      </w:pPr>
      <w:r>
        <w:rPr>
          <w:rFonts w:hint="eastAsia" w:ascii="方正仿宋_GBK" w:hAnsi="方正仿宋_GBK" w:eastAsia="方正仿宋_GBK" w:cs="方正仿宋_GBK"/>
          <w:spacing w:val="0"/>
          <w:kern w:val="2"/>
          <w:sz w:val="32"/>
          <w:szCs w:val="22"/>
          <w:lang w:val="en-US" w:eastAsia="zh-CN" w:bidi="ar-SA"/>
        </w:rPr>
        <w:t>（一）党建引领强根基，牢记使命正师风</w:t>
      </w:r>
    </w:p>
    <w:p w14:paraId="49DFB6E2">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b w:val="0"/>
          <w:bCs w:val="0"/>
          <w:i w:val="0"/>
          <w:iCs w:val="0"/>
          <w:caps w:val="0"/>
          <w:color w:val="auto"/>
          <w:spacing w:val="0"/>
          <w:sz w:val="32"/>
          <w:szCs w:val="32"/>
          <w:shd w:val="clear" w:color="auto" w:fill="FFFFFF"/>
          <w:lang w:eastAsia="zh-CN"/>
        </w:rPr>
      </w:pPr>
      <w:r>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t>1.</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eastAsia="zh-CN"/>
        </w:rPr>
        <w:t>深化理论武装，夯实思想根基</w:t>
      </w:r>
    </w:p>
    <w:p w14:paraId="3CC31D1C">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pPr>
      <w:r>
        <w:rPr>
          <w:rFonts w:hint="eastAsia" w:ascii="方正仿宋_GBK" w:hAnsi="方正仿宋_GBK" w:eastAsia="方正仿宋_GBK" w:cs="方正仿宋_GBK"/>
          <w:b w:val="0"/>
          <w:bCs w:val="0"/>
          <w:i w:val="0"/>
          <w:iCs w:val="0"/>
          <w:caps w:val="0"/>
          <w:color w:val="auto"/>
          <w:spacing w:val="0"/>
          <w:sz w:val="32"/>
          <w:szCs w:val="32"/>
          <w:shd w:val="clear" w:color="auto" w:fill="FFFFFF"/>
        </w:rPr>
        <w:t>组织全体教职工深入学习党的</w:t>
      </w:r>
      <w:r>
        <w:rPr>
          <w:rFonts w:hint="eastAsia" w:ascii="方正仿宋_GBK" w:hAnsi="方正仿宋_GBK" w:eastAsia="方正仿宋_GBK" w:cs="方正仿宋_GBK"/>
          <w:b w:val="0"/>
          <w:bCs w:val="0"/>
          <w:sz w:val="32"/>
          <w:szCs w:val="32"/>
        </w:rPr>
        <w:t>二十大及二十届三中、四中全会精神</w:t>
      </w:r>
      <w:r>
        <w:rPr>
          <w:rFonts w:hint="eastAsia" w:ascii="方正仿宋_GBK" w:hAnsi="方正仿宋_GBK" w:eastAsia="方正仿宋_GBK" w:cs="方正仿宋_GBK"/>
          <w:b w:val="0"/>
          <w:bCs w:val="0"/>
          <w:i w:val="0"/>
          <w:iCs w:val="0"/>
          <w:caps w:val="0"/>
          <w:color w:val="auto"/>
          <w:spacing w:val="0"/>
          <w:sz w:val="32"/>
          <w:szCs w:val="32"/>
          <w:shd w:val="clear" w:color="auto" w:fill="FFFFFF"/>
        </w:rPr>
        <w:t>，重点围绕</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eastAsia="zh-CN"/>
        </w:rPr>
        <w:t>习近平总书记重要讲话精神</w:t>
      </w:r>
      <w:r>
        <w:rPr>
          <w:rFonts w:hint="eastAsia" w:ascii="方正仿宋_GBK" w:hAnsi="方正仿宋_GBK" w:eastAsia="方正仿宋_GBK" w:cs="方正仿宋_GBK"/>
          <w:b w:val="0"/>
          <w:bCs w:val="0"/>
          <w:i w:val="0"/>
          <w:iCs w:val="0"/>
          <w:caps w:val="0"/>
          <w:color w:val="auto"/>
          <w:spacing w:val="0"/>
          <w:sz w:val="32"/>
          <w:szCs w:val="32"/>
          <w:shd w:val="clear" w:color="auto" w:fill="FFFFFF"/>
        </w:rPr>
        <w:t>开展专题学习</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t>通过召开</w:t>
      </w:r>
      <w:r>
        <w:rPr>
          <w:rFonts w:hint="eastAsia" w:ascii="方正仿宋_GBK" w:hAnsi="方正仿宋_GBK" w:eastAsia="方正仿宋_GBK" w:cs="方正仿宋_GBK"/>
          <w:b w:val="0"/>
          <w:bCs w:val="0"/>
          <w:i w:val="0"/>
          <w:iCs w:val="0"/>
          <w:caps w:val="0"/>
          <w:color w:val="auto"/>
          <w:spacing w:val="0"/>
          <w:sz w:val="32"/>
          <w:szCs w:val="32"/>
          <w:shd w:val="clear" w:color="auto" w:fill="FFFFFF"/>
        </w:rPr>
        <w:t>学习</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t>部署</w:t>
      </w:r>
      <w:r>
        <w:rPr>
          <w:rFonts w:hint="eastAsia" w:ascii="方正仿宋_GBK" w:hAnsi="方正仿宋_GBK" w:eastAsia="方正仿宋_GBK" w:cs="方正仿宋_GBK"/>
          <w:b w:val="0"/>
          <w:bCs w:val="0"/>
          <w:i w:val="0"/>
          <w:iCs w:val="0"/>
          <w:caps w:val="0"/>
          <w:color w:val="auto"/>
          <w:spacing w:val="0"/>
          <w:sz w:val="32"/>
          <w:szCs w:val="32"/>
          <w:shd w:val="clear" w:color="auto" w:fill="FFFFFF"/>
        </w:rPr>
        <w:t>会</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t>制定学习计划、安排专题学习、接受警示教育、开展交流研讨等举措，有序组织党员学深学实。</w:t>
      </w:r>
    </w:p>
    <w:p w14:paraId="25E9BC33">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pPr>
      <w:r>
        <w:rPr>
          <w:rFonts w:hint="eastAsia" w:ascii="方正仿宋_GBK" w:hAnsi="方正仿宋_GBK" w:eastAsia="方正仿宋_GBK" w:cs="方正仿宋_GBK"/>
          <w:b w:val="0"/>
          <w:bCs w:val="0"/>
          <w:i w:val="0"/>
          <w:iCs w:val="0"/>
          <w:caps w:val="0"/>
          <w:color w:val="auto"/>
          <w:spacing w:val="0"/>
          <w:sz w:val="32"/>
          <w:szCs w:val="32"/>
          <w:shd w:val="clear" w:color="auto" w:fill="FFFFFF"/>
          <w:lang w:val="en-US" w:eastAsia="zh-CN"/>
        </w:rPr>
        <w:t>2.强化师德建设，筑牢纪律防线</w:t>
      </w:r>
    </w:p>
    <w:p w14:paraId="1CEB17DF">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幼儿园</w:t>
      </w:r>
      <w:r>
        <w:rPr>
          <w:rFonts w:hint="eastAsia" w:ascii="方正仿宋_GBK" w:hAnsi="方正仿宋_GBK" w:eastAsia="方正仿宋_GBK" w:cs="方正仿宋_GBK"/>
          <w:i w:val="0"/>
          <w:iCs w:val="0"/>
          <w:caps w:val="0"/>
          <w:color w:val="auto"/>
          <w:spacing w:val="0"/>
          <w:sz w:val="32"/>
          <w:szCs w:val="32"/>
          <w:shd w:val="clear" w:color="auto" w:fill="FFFFFF"/>
        </w:rPr>
        <w:t>以“</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践行教育家精神 争做新时代好教师</w:t>
      </w:r>
      <w:r>
        <w:rPr>
          <w:rFonts w:hint="eastAsia" w:ascii="方正仿宋_GBK" w:hAnsi="方正仿宋_GBK" w:eastAsia="方正仿宋_GBK" w:cs="方正仿宋_GBK"/>
          <w:i w:val="0"/>
          <w:iCs w:val="0"/>
          <w:caps w:val="0"/>
          <w:color w:val="auto"/>
          <w:spacing w:val="0"/>
          <w:sz w:val="32"/>
          <w:szCs w:val="32"/>
          <w:shd w:val="clear" w:color="auto" w:fill="FFFFFF"/>
        </w:rPr>
        <w:t>”为主题</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开展师德师风教育系列活动</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结合2025年全国学前教育宣传月主题“学前有法 善育有规”，</w:t>
      </w:r>
      <w:r>
        <w:rPr>
          <w:rFonts w:hint="eastAsia" w:ascii="方正仿宋_GBK" w:hAnsi="方正仿宋_GBK" w:eastAsia="方正仿宋_GBK" w:cs="方正仿宋_GBK"/>
          <w:i w:val="0"/>
          <w:iCs w:val="0"/>
          <w:caps w:val="0"/>
          <w:color w:val="auto"/>
          <w:spacing w:val="0"/>
          <w:sz w:val="32"/>
          <w:szCs w:val="32"/>
          <w:shd w:val="clear" w:color="auto" w:fill="FFFFFF"/>
        </w:rPr>
        <w:t>开展</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《中华人民共和国学前教育法》</w:t>
      </w:r>
      <w:r>
        <w:rPr>
          <w:rFonts w:hint="eastAsia" w:ascii="方正仿宋_GBK" w:hAnsi="方正仿宋_GBK" w:eastAsia="方正仿宋_GBK" w:cs="方正仿宋_GBK"/>
          <w:i w:val="0"/>
          <w:iCs w:val="0"/>
          <w:caps w:val="0"/>
          <w:color w:val="auto"/>
          <w:spacing w:val="0"/>
          <w:sz w:val="32"/>
          <w:szCs w:val="32"/>
          <w:shd w:val="clear" w:color="auto" w:fill="FFFFFF"/>
        </w:rPr>
        <w:t>专题讲座，</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增强全体教师遵法、守法意识，树立科学保育教育观念；</w:t>
      </w:r>
      <w:r>
        <w:rPr>
          <w:rFonts w:hint="eastAsia" w:ascii="方正仿宋_GBK" w:hAnsi="方正仿宋_GBK" w:eastAsia="方正仿宋_GBK" w:cs="方正仿宋_GBK"/>
          <w:i w:val="0"/>
          <w:iCs w:val="0"/>
          <w:caps w:val="0"/>
          <w:color w:val="auto"/>
          <w:spacing w:val="0"/>
          <w:sz w:val="32"/>
          <w:szCs w:val="32"/>
          <w:shd w:val="clear" w:color="auto" w:fill="FFFFFF"/>
        </w:rPr>
        <w:t>开展</w:t>
      </w:r>
      <w:r>
        <w:rPr>
          <w:rFonts w:hint="eastAsia" w:ascii="仿宋_GB2312" w:hAnsi="仿宋" w:eastAsia="仿宋_GB2312" w:cs="仿宋"/>
          <w:color w:val="000000"/>
          <w:kern w:val="2"/>
          <w:sz w:val="32"/>
          <w:szCs w:val="32"/>
          <w:lang w:val="en-US" w:eastAsia="zh-CN" w:bidi="ar-SA"/>
        </w:rPr>
        <w:t>师德专题培训3次、</w:t>
      </w:r>
      <w:r>
        <w:rPr>
          <w:rFonts w:hint="eastAsia" w:ascii="方正仿宋_GBK" w:hAnsi="方正仿宋_GBK" w:eastAsia="方正仿宋_GBK" w:cs="方正仿宋_GBK"/>
          <w:i w:val="0"/>
          <w:iCs w:val="0"/>
          <w:caps w:val="0"/>
          <w:color w:val="auto"/>
          <w:spacing w:val="0"/>
          <w:sz w:val="32"/>
          <w:szCs w:val="32"/>
          <w:shd w:val="clear" w:color="auto" w:fill="FFFFFF"/>
        </w:rPr>
        <w:t>专题警示教育</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6</w:t>
      </w:r>
      <w:r>
        <w:rPr>
          <w:rFonts w:hint="eastAsia" w:ascii="方正仿宋_GBK" w:hAnsi="方正仿宋_GBK" w:eastAsia="方正仿宋_GBK" w:cs="方正仿宋_GBK"/>
          <w:i w:val="0"/>
          <w:iCs w:val="0"/>
          <w:caps w:val="0"/>
          <w:color w:val="auto"/>
          <w:spacing w:val="0"/>
          <w:sz w:val="32"/>
          <w:szCs w:val="32"/>
          <w:shd w:val="clear" w:color="auto" w:fill="FFFFFF"/>
        </w:rPr>
        <w:t>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组织全体教师学习违反师德师风的典型案例，学习《中华人民共和国学前教育法》的十个违法行为，以案为鉴，强化纪律意识和底线思维。</w:t>
      </w:r>
    </w:p>
    <w:p w14:paraId="468DDAC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3.打造党建品牌</w:t>
      </w: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val="en-US" w:eastAsia="zh-CN"/>
        </w:rPr>
        <w:t>发挥先锋作用</w:t>
      </w:r>
    </w:p>
    <w:p w14:paraId="17E5EB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lang w:val="en-US" w:eastAsia="zh-CN"/>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党支部精心打造“童心留熠”党建品牌，围绕“点亮童年”核心理念，聚焦特色、凝聚合力，激励党员教师在一线当先锋、作表率，推动品牌理念落地见效。一是设立先锋岗位，结合“五比”主题活动，设立“党员先锋岗”“党员责任田”，推动党员在全园教师覆盖的托育服务、混龄延时服务、环境创设、创造性游戏等重点工作中亮身份、晒进度、践承诺，发挥党员干部先锋模范作用。二是实施结对帮扶，党员教师与班级特需儿童结对，进行“一对一”关爱指导；与江东街道宝地园社区共建“熠课堂”项目，开展2-6岁科学育儿公益指导8次，服务家庭80个；开展困境儿童帮扶结对活动2次，将党建品牌影响力向社区延伸。</w:t>
      </w:r>
    </w:p>
    <w:p w14:paraId="7BCE22E7">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（二）深耕保教促发展，凝心聚力提质效</w:t>
      </w:r>
    </w:p>
    <w:p w14:paraId="31E0D4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1.课程提质，创新融合促成长</w:t>
      </w:r>
    </w:p>
    <w:p w14:paraId="457639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val="0"/>
          <w:bCs w:val="0"/>
          <w:color w:val="auto"/>
          <w:sz w:val="32"/>
          <w:szCs w:val="32"/>
          <w:lang w:eastAsia="zh-CN"/>
        </w:rPr>
        <w:t>生发班本课程，支持自主探究。</w:t>
      </w:r>
      <w:r>
        <w:rPr>
          <w:rFonts w:hint="eastAsia" w:ascii="方正仿宋_GBK" w:hAnsi="方正仿宋_GBK" w:eastAsia="方正仿宋_GBK" w:cs="方正仿宋_GBK"/>
          <w:color w:val="auto"/>
          <w:sz w:val="32"/>
          <w:szCs w:val="32"/>
          <w:lang w:eastAsia="zh-CN"/>
        </w:rPr>
        <w:t>在综合课程背景下，注重从幼儿兴趣、问题、经验出发，借助高质量师幼互动、精密观察等多种方式推动课程深度发展。</w:t>
      </w:r>
      <w:r>
        <w:rPr>
          <w:rFonts w:hint="eastAsia" w:ascii="方正仿宋_GBK" w:hAnsi="方正仿宋_GBK" w:eastAsia="方正仿宋_GBK" w:cs="方正仿宋_GBK"/>
          <w:color w:val="auto"/>
          <w:sz w:val="32"/>
          <w:szCs w:val="32"/>
          <w:lang w:val="en-US" w:eastAsia="zh-CN"/>
        </w:rPr>
        <w:t xml:space="preserve">  </w:t>
      </w:r>
    </w:p>
    <w:p w14:paraId="7748C3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default" w:ascii="方正仿宋_GBK" w:hAnsi="方正仿宋_GBK" w:eastAsia="方正仿宋_GBK" w:cs="方正仿宋_GBK"/>
          <w:color w:val="auto"/>
          <w:sz w:val="32"/>
          <w:szCs w:val="32"/>
          <w:lang w:val="en-US" w:eastAsia="zh-CN"/>
        </w:rPr>
        <w:t>注重领域整合，丰富课程内容</w:t>
      </w:r>
      <w:r>
        <w:rPr>
          <w:rFonts w:hint="eastAsia" w:ascii="方正仿宋_GBK" w:hAnsi="方正仿宋_GBK" w:eastAsia="方正仿宋_GBK" w:cs="方正仿宋_GBK"/>
          <w:color w:val="auto"/>
          <w:sz w:val="32"/>
          <w:szCs w:val="32"/>
          <w:lang w:val="en-US" w:eastAsia="zh-CN"/>
        </w:rPr>
        <w:t>。</w:t>
      </w:r>
      <w:r>
        <w:rPr>
          <w:rFonts w:hint="default" w:ascii="方正仿宋_GBK" w:hAnsi="方正仿宋_GBK" w:eastAsia="方正仿宋_GBK" w:cs="方正仿宋_GBK"/>
          <w:color w:val="auto"/>
          <w:sz w:val="32"/>
          <w:szCs w:val="32"/>
          <w:lang w:val="en-US" w:eastAsia="zh-CN"/>
        </w:rPr>
        <w:t>幼儿园各班在生成多个项目课程基础上，策划实施“童心创想，活力成长”全园亲子建构节、建构艺术展系列活动、大班毕业系列活动等</w:t>
      </w:r>
      <w:r>
        <w:rPr>
          <w:rFonts w:hint="eastAsia" w:ascii="方正仿宋_GBK" w:hAnsi="方正仿宋_GBK" w:eastAsia="方正仿宋_GBK" w:cs="方正仿宋_GBK"/>
          <w:color w:val="auto"/>
          <w:sz w:val="32"/>
          <w:szCs w:val="32"/>
          <w:lang w:val="en-US" w:eastAsia="zh-CN"/>
        </w:rPr>
        <w:t>，</w:t>
      </w:r>
      <w:r>
        <w:rPr>
          <w:rFonts w:hint="default" w:ascii="方正仿宋_GBK" w:hAnsi="方正仿宋_GBK" w:eastAsia="方正仿宋_GBK" w:cs="方正仿宋_GBK"/>
          <w:color w:val="auto"/>
          <w:sz w:val="32"/>
          <w:szCs w:val="32"/>
          <w:lang w:val="en-US" w:eastAsia="zh-CN"/>
        </w:rPr>
        <w:t>将课程目标有机融入幼儿生活实践，有效促进幼儿社会性发展、文化认同感及综合能力的提升。</w:t>
      </w:r>
      <w:bookmarkStart w:id="2" w:name="_GoBack"/>
      <w:bookmarkEnd w:id="2"/>
    </w:p>
    <w:p w14:paraId="2FD0AE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default" w:ascii="方正仿宋_GBK" w:hAnsi="方正仿宋_GBK" w:eastAsia="方正仿宋_GBK" w:cs="方正仿宋_GBK"/>
          <w:color w:val="auto"/>
          <w:sz w:val="32"/>
          <w:szCs w:val="32"/>
          <w:lang w:val="en-US" w:eastAsia="zh-CN"/>
        </w:rPr>
        <w:t>深化课题研究，探索深度学习</w:t>
      </w:r>
      <w:r>
        <w:rPr>
          <w:rFonts w:hint="eastAsia" w:ascii="方正仿宋_GBK" w:hAnsi="方正仿宋_GBK" w:eastAsia="方正仿宋_GBK" w:cs="方正仿宋_GBK"/>
          <w:color w:val="auto"/>
          <w:sz w:val="32"/>
          <w:szCs w:val="32"/>
          <w:lang w:val="en-US" w:eastAsia="zh-CN"/>
        </w:rPr>
        <w:t>。围绕江苏省重点课题研究的持续深入，幼儿园从实践出发，深度探索建构游戏中幼儿学习的条件、特征、过程，帮助儿童更自主地在建构游戏中探究与体验。聚焦不同材料游戏方式的创新与探索、不同年龄段幼儿对材料使用方法的研究以及建构游戏中幼儿深度学习案例的梳理，形成100多篇案例，为深度学习提供理论与实践支撑。</w:t>
      </w:r>
    </w:p>
    <w:p w14:paraId="1C0443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2.托育创新，精细呵护促发展</w:t>
      </w:r>
    </w:p>
    <w:p w14:paraId="618F26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一是精准分组实施精细管理，根据幼儿年龄、发展水平、性格特点，采用小组指导与个别指导相结合的模式，实现精准照料与针对性教育；二是个性课程满足多元需求，结合婴幼儿特点设计涵盖生活自理、认知发展、情感社交的个性化托育课程，注重趣味性与实用性，激发学习兴趣；三是精细方法关注个体成长，采用小组互动、情境教学等方法，关注婴幼儿学习过程与发展变化，及时调整策略，促进全面发展。</w:t>
      </w:r>
    </w:p>
    <w:p w14:paraId="21B7F9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3.服务拓展，精心打造提品质</w:t>
      </w:r>
    </w:p>
    <w:p w14:paraId="74E7EC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幼儿园以社团活动为载体，丰富课程外延，结合幼儿兴趣，开设乐高、体适能、思维、舞蹈、合唱等特色社团公益活动，让幼儿自主选择社团，有效拓展幼儿兴趣发展空间。家长通过幼儿园微信公众号、视频号、“家长开放”等多路径了解社团课程内容；为丰富孩子们的寒暑假生活，满足家长需求，幼儿园开设寒假冬令营、暑期夏令营活动，开展新春音乐会、民俗文化节等主题活动，活动内容精彩纷呈。</w:t>
      </w:r>
    </w:p>
    <w:p w14:paraId="3A0A87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（三）后勤保障精服务，筑牢防线保平安</w:t>
      </w:r>
    </w:p>
    <w:p w14:paraId="2D4B218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1.强化技能培训，锻造专业队伍</w:t>
      </w:r>
    </w:p>
    <w:p w14:paraId="43380708">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为进一步提升幼儿园应对突发事件的能力，确保幼儿在园内的安全与健康，幼儿园全体保教人员进行“包扎技术、心肺复苏（CPR）”“烧烫伤急救协作”专项技能培训，培训内容覆盖关键急救技能，通过系统化的学习和实践，帮助每位保教人员熟练掌握基础急救技能，确保在紧急情况下能够迅速有效地进行处置，为后续的专业医疗救助赢得宝贵时间。</w:t>
      </w:r>
    </w:p>
    <w:p w14:paraId="75E01F63">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2.优化膳食管理，守护饮食安全</w:t>
      </w:r>
    </w:p>
    <w:p w14:paraId="5009BE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保健室牵头成立“食育小组”，建立“膳食营养数据库”，实现食谱实时营养测算和对每餐食谱的营养分析，使食谱制定从“凭经验”转向“靠数据”，全年创新推出20余道特色菜品，幼儿挑食明显改善，师生对膳食的满意度提升。针对过敏及体质特殊幼儿，建立了“一对一”个性化膳食服务机制，保健医生对接家长，为15名幼儿量身定制专属食谱，并动态调整。幼儿园构建全链条食安防线，确保每一位幼儿的饮食安全与营养健康，体现服务的温度与精度。</w:t>
      </w:r>
    </w:p>
    <w:p w14:paraId="6DA1C4B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3.强化治安防控，抓实消防安全</w:t>
      </w:r>
    </w:p>
    <w:p w14:paraId="0BE76B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重点对保安履职、师生安全管理、一键报警和视频监控系统、护学岗落实情况开展经常性督促检查。完善消防安全管理制度，健全工作机制，定时对教学楼、专用教室等人员密集场所、火灾易发多发重点部位开展排查，落实每月消防维保工作，做到查细查透。 </w:t>
      </w:r>
      <w:r>
        <w:rPr>
          <w:rFonts w:hint="eastAsia" w:ascii="方正仿宋_GBK" w:hAnsi="方正仿宋_GBK" w:eastAsia="方正仿宋_GBK" w:cs="方正仿宋_GBK"/>
          <w:sz w:val="32"/>
          <w:szCs w:val="32"/>
        </w:rPr>
        <w:t>通过“消防安全</w:t>
      </w:r>
      <w:r>
        <w:rPr>
          <w:rFonts w:hint="eastAsia" w:ascii="方正仿宋_GBK" w:hAnsi="方正仿宋_GBK" w:eastAsia="方正仿宋_GBK" w:cs="方正仿宋_GBK"/>
          <w:sz w:val="32"/>
          <w:szCs w:val="32"/>
          <w:lang w:val="en-US" w:eastAsia="zh-CN"/>
        </w:rPr>
        <w:t>进</w:t>
      </w:r>
      <w:r>
        <w:rPr>
          <w:rFonts w:hint="eastAsia" w:ascii="方正仿宋_GBK" w:hAnsi="方正仿宋_GBK" w:eastAsia="方正仿宋_GBK" w:cs="方正仿宋_GBK"/>
          <w:sz w:val="32"/>
          <w:szCs w:val="32"/>
        </w:rPr>
        <w:t>课堂”、常态化疏散演练等形式，将安全教育融入互动体验，实现安全意识从娃娃抓起</w:t>
      </w:r>
      <w:r>
        <w:rPr>
          <w:rFonts w:hint="eastAsia" w:ascii="方正仿宋_GBK" w:hAnsi="方正仿宋_GBK" w:eastAsia="方正仿宋_GBK" w:cs="方正仿宋_GBK"/>
          <w:sz w:val="32"/>
          <w:szCs w:val="32"/>
          <w:lang w:eastAsia="zh-CN"/>
        </w:rPr>
        <w:t>。</w:t>
      </w:r>
    </w:p>
    <w:p w14:paraId="7B0892D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四、存在问题及原因分析</w:t>
      </w:r>
    </w:p>
    <w:p w14:paraId="345D2F22">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宋体" w:hAnsi="宋体" w:eastAsia="宋体" w:cs="宋体"/>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部分项目预算执行推进有偏差。主要原因是落实过紧日子要求，结合</w:t>
      </w:r>
      <w:r>
        <w:rPr>
          <w:rFonts w:hint="eastAsia" w:ascii="方正仿宋_GBK" w:hAnsi="方正仿宋_GBK" w:eastAsia="方正仿宋_GBK" w:cs="方正仿宋_GBK"/>
          <w:b w:val="0"/>
          <w:bCs w:val="0"/>
          <w:color w:val="auto"/>
          <w:kern w:val="0"/>
          <w:sz w:val="32"/>
          <w:szCs w:val="32"/>
          <w:highlight w:val="none"/>
          <w:lang w:eastAsia="zh-CN"/>
        </w:rPr>
        <w:t>幼儿园实际</w:t>
      </w:r>
      <w:r>
        <w:rPr>
          <w:rFonts w:hint="eastAsia" w:ascii="方正仿宋_GBK" w:hAnsi="方正仿宋_GBK" w:eastAsia="方正仿宋_GBK" w:cs="方正仿宋_GBK"/>
          <w:b w:val="0"/>
          <w:bCs w:val="0"/>
          <w:color w:val="auto"/>
          <w:kern w:val="0"/>
          <w:sz w:val="32"/>
          <w:szCs w:val="32"/>
          <w:highlight w:val="none"/>
        </w:rPr>
        <w:t>对当年项目预算进行了优化。</w:t>
      </w:r>
    </w:p>
    <w:p w14:paraId="11971DAD">
      <w:pPr>
        <w:keepNext w:val="0"/>
        <w:keepLines w:val="0"/>
        <w:pageBreakBefore w:val="0"/>
        <w:widowControl/>
        <w:numPr>
          <w:ilvl w:val="0"/>
          <w:numId w:val="1"/>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bCs/>
          <w:color w:val="auto"/>
          <w:kern w:val="0"/>
          <w:sz w:val="32"/>
          <w:szCs w:val="32"/>
          <w:highlight w:val="none"/>
          <w:lang w:val="en-US" w:eastAsia="zh-CN"/>
        </w:rPr>
      </w:pPr>
      <w:r>
        <w:rPr>
          <w:rFonts w:hint="eastAsia" w:ascii="黑体" w:hAnsi="黑体" w:eastAsia="黑体" w:cs="黑体"/>
          <w:b/>
          <w:bCs/>
          <w:color w:val="auto"/>
          <w:kern w:val="0"/>
          <w:sz w:val="32"/>
          <w:szCs w:val="32"/>
          <w:highlight w:val="none"/>
        </w:rPr>
        <w:t>有关建议</w:t>
      </w:r>
    </w:p>
    <w:p w14:paraId="73E46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继续落实过紧日子要求，细化分解</w:t>
      </w:r>
      <w:r>
        <w:rPr>
          <w:rFonts w:hint="eastAsia" w:ascii="方正仿宋_GBK" w:hAnsi="方正仿宋_GBK" w:eastAsia="方正仿宋_GBK" w:cs="方正仿宋_GBK"/>
          <w:b w:val="0"/>
          <w:bCs w:val="0"/>
          <w:color w:val="auto"/>
          <w:kern w:val="0"/>
          <w:sz w:val="32"/>
          <w:szCs w:val="32"/>
          <w:highlight w:val="none"/>
          <w:lang w:eastAsia="zh-CN"/>
        </w:rPr>
        <w:t>各部门</w:t>
      </w:r>
      <w:r>
        <w:rPr>
          <w:rFonts w:hint="eastAsia" w:ascii="方正仿宋_GBK" w:hAnsi="方正仿宋_GBK" w:eastAsia="方正仿宋_GBK" w:cs="方正仿宋_GBK"/>
          <w:b w:val="0"/>
          <w:bCs w:val="0"/>
          <w:color w:val="auto"/>
          <w:kern w:val="0"/>
          <w:sz w:val="32"/>
          <w:szCs w:val="32"/>
          <w:highlight w:val="none"/>
        </w:rPr>
        <w:t>履职事项</w:t>
      </w:r>
      <w:r>
        <w:rPr>
          <w:rFonts w:hint="eastAsia" w:ascii="方正仿宋_GBK" w:hAnsi="方正仿宋_GBK" w:eastAsia="方正仿宋_GBK" w:cs="方正仿宋_GBK"/>
          <w:b w:val="0"/>
          <w:bCs w:val="0"/>
          <w:color w:val="auto"/>
          <w:kern w:val="0"/>
          <w:sz w:val="32"/>
          <w:szCs w:val="32"/>
          <w:highlight w:val="none"/>
          <w:lang w:eastAsia="zh-CN"/>
        </w:rPr>
        <w:t>，进一步提高</w:t>
      </w:r>
      <w:r>
        <w:rPr>
          <w:rFonts w:hint="eastAsia" w:ascii="方正仿宋_GBK" w:hAnsi="方正仿宋_GBK" w:eastAsia="方正仿宋_GBK" w:cs="方正仿宋_GBK"/>
          <w:b w:val="0"/>
          <w:bCs w:val="0"/>
          <w:color w:val="auto"/>
          <w:kern w:val="0"/>
          <w:sz w:val="32"/>
          <w:szCs w:val="32"/>
          <w:highlight w:val="none"/>
        </w:rPr>
        <w:t>项目预算编制的科学性和严谨性</w:t>
      </w:r>
      <w:r>
        <w:rPr>
          <w:rFonts w:hint="eastAsia" w:ascii="方正仿宋_GBK" w:hAnsi="方正仿宋_GBK" w:eastAsia="方正仿宋_GBK" w:cs="方正仿宋_GBK"/>
          <w:b w:val="0"/>
          <w:bCs w:val="0"/>
          <w:color w:val="auto"/>
          <w:kern w:val="0"/>
          <w:sz w:val="32"/>
          <w:szCs w:val="32"/>
          <w:highlight w:val="none"/>
          <w:lang w:eastAsia="zh-CN"/>
        </w:rPr>
        <w:t>，同时</w:t>
      </w:r>
      <w:r>
        <w:rPr>
          <w:rFonts w:hint="eastAsia" w:ascii="方正仿宋_GBK" w:hAnsi="方正仿宋_GBK" w:eastAsia="方正仿宋_GBK" w:cs="方正仿宋_GBK"/>
          <w:b w:val="0"/>
          <w:bCs w:val="0"/>
          <w:color w:val="auto"/>
          <w:kern w:val="0"/>
          <w:sz w:val="32"/>
          <w:szCs w:val="32"/>
          <w:highlight w:val="none"/>
        </w:rPr>
        <w:t>加强预算监督。</w:t>
      </w:r>
    </w:p>
    <w:p w14:paraId="74543A66">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六、评价工作开展情况及其他需说明的情况</w:t>
      </w:r>
    </w:p>
    <w:p w14:paraId="634352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rPr>
      </w:pPr>
      <w:r>
        <w:rPr>
          <w:rFonts w:hint="eastAsia" w:ascii="方正仿宋_GBK" w:hAnsi="方正仿宋_GBK" w:eastAsia="方正仿宋_GBK" w:cs="方正仿宋_GBK"/>
          <w:b w:val="0"/>
          <w:bCs w:val="0"/>
          <w:color w:val="auto"/>
          <w:kern w:val="0"/>
          <w:sz w:val="32"/>
          <w:szCs w:val="32"/>
          <w:highlight w:val="none"/>
        </w:rPr>
        <w:t>（一）绩效评价工作情况</w:t>
      </w:r>
    </w:p>
    <w:p w14:paraId="3D51B0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1.评价思路及方法</w:t>
      </w:r>
    </w:p>
    <w:p w14:paraId="2DF5ECCC">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部门整体绩效评价围绕部门职责、行业发展规划，以预算资金管理为主线，以部门履职情况为核心内容，统筹考虑资产和业务活动，从部门决策、部门管理、部门履职、履职绩效、可持续发展能力五个维度来设计指标、评价标准以及指标权重等，形成了绩效评价指标体系，综合衡量部门整体及核心业务实施效果。指标体系整体框架，包括5项一级指标、18项二级指标和42项三级指标组成。重点在“部门履职”和“履职绩效”上，权重达60%。</w:t>
      </w:r>
    </w:p>
    <w:p w14:paraId="2BE39268">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本次绩效评价项目通过综合运用制定评价指标和标准、数据采集、问卷调查等方式进行部门整体绩效综合评价，一方面详细了解、掌握项目的概况及实施情况；另一方面进行调查取数，为评价部门决策、部门管理、部门履职及履职绩效、服务对象满意度等提供证据支撑。评价指标采取定量与定性相结合、优先定量的原则。</w:t>
      </w:r>
    </w:p>
    <w:p w14:paraId="7E58E4CC">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2.评价组织与分工</w:t>
      </w:r>
    </w:p>
    <w:p w14:paraId="7AE32D4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bCs/>
          <w:color w:val="000000"/>
          <w:sz w:val="32"/>
          <w:szCs w:val="32"/>
        </w:rPr>
      </w:pPr>
      <w:r>
        <w:rPr>
          <w:rFonts w:hint="eastAsia" w:ascii="方正仿宋_GBK" w:hAnsi="方正仿宋_GBK" w:eastAsia="方正仿宋_GBK" w:cs="方正仿宋_GBK"/>
          <w:bCs/>
          <w:color w:val="000000"/>
          <w:sz w:val="32"/>
          <w:szCs w:val="32"/>
        </w:rPr>
        <w:t>评价组由</w:t>
      </w:r>
      <w:r>
        <w:rPr>
          <w:rFonts w:hint="eastAsia" w:ascii="方正仿宋_GBK" w:hAnsi="方正仿宋_GBK" w:eastAsia="方正仿宋_GBK" w:cs="方正仿宋_GBK"/>
          <w:bCs/>
          <w:color w:val="000000"/>
          <w:sz w:val="32"/>
          <w:szCs w:val="32"/>
          <w:lang w:eastAsia="zh-CN"/>
        </w:rPr>
        <w:t>园长</w:t>
      </w:r>
      <w:r>
        <w:rPr>
          <w:rFonts w:hint="eastAsia" w:ascii="方正仿宋_GBK" w:hAnsi="方正仿宋_GBK" w:eastAsia="方正仿宋_GBK" w:cs="方正仿宋_GBK"/>
          <w:bCs/>
          <w:color w:val="000000"/>
          <w:sz w:val="32"/>
          <w:szCs w:val="32"/>
        </w:rPr>
        <w:t>、</w:t>
      </w:r>
      <w:r>
        <w:rPr>
          <w:rFonts w:hint="eastAsia" w:ascii="方正仿宋_GBK" w:hAnsi="方正仿宋_GBK" w:eastAsia="方正仿宋_GBK" w:cs="方正仿宋_GBK"/>
          <w:bCs/>
          <w:color w:val="000000"/>
          <w:sz w:val="32"/>
          <w:szCs w:val="32"/>
          <w:lang w:eastAsia="zh-CN"/>
        </w:rPr>
        <w:t>各</w:t>
      </w:r>
      <w:r>
        <w:rPr>
          <w:rFonts w:hint="eastAsia" w:ascii="方正仿宋_GBK" w:hAnsi="方正仿宋_GBK" w:eastAsia="方正仿宋_GBK" w:cs="方正仿宋_GBK"/>
          <w:bCs/>
          <w:color w:val="000000"/>
          <w:sz w:val="32"/>
          <w:szCs w:val="32"/>
        </w:rPr>
        <w:t>业务</w:t>
      </w:r>
      <w:r>
        <w:rPr>
          <w:rFonts w:hint="eastAsia" w:ascii="方正仿宋_GBK" w:hAnsi="方正仿宋_GBK" w:eastAsia="方正仿宋_GBK" w:cs="方正仿宋_GBK"/>
          <w:bCs/>
          <w:color w:val="000000"/>
          <w:sz w:val="32"/>
          <w:szCs w:val="32"/>
          <w:lang w:eastAsia="zh-CN"/>
        </w:rPr>
        <w:t>部门</w:t>
      </w:r>
      <w:r>
        <w:rPr>
          <w:rFonts w:hint="eastAsia" w:ascii="方正仿宋_GBK" w:hAnsi="方正仿宋_GBK" w:eastAsia="方正仿宋_GBK" w:cs="方正仿宋_GBK"/>
          <w:bCs/>
          <w:color w:val="000000"/>
          <w:sz w:val="32"/>
          <w:szCs w:val="32"/>
        </w:rPr>
        <w:t>负责人</w:t>
      </w:r>
      <w:r>
        <w:rPr>
          <w:rFonts w:hint="eastAsia" w:ascii="方正仿宋_GBK" w:hAnsi="方正仿宋_GBK" w:eastAsia="方正仿宋_GBK" w:cs="方正仿宋_GBK"/>
          <w:bCs/>
          <w:color w:val="000000"/>
          <w:sz w:val="32"/>
          <w:szCs w:val="32"/>
          <w:lang w:eastAsia="zh-CN"/>
        </w:rPr>
        <w:t>及</w:t>
      </w:r>
      <w:r>
        <w:rPr>
          <w:rFonts w:hint="eastAsia" w:ascii="方正仿宋_GBK" w:hAnsi="方正仿宋_GBK" w:eastAsia="方正仿宋_GBK" w:cs="方正仿宋_GBK"/>
          <w:bCs/>
          <w:color w:val="000000"/>
          <w:sz w:val="32"/>
          <w:szCs w:val="32"/>
        </w:rPr>
        <w:t>财务</w:t>
      </w:r>
      <w:r>
        <w:rPr>
          <w:rFonts w:hint="eastAsia" w:ascii="方正仿宋_GBK" w:hAnsi="方正仿宋_GBK" w:eastAsia="方正仿宋_GBK" w:cs="方正仿宋_GBK"/>
          <w:bCs/>
          <w:color w:val="000000"/>
          <w:sz w:val="32"/>
          <w:szCs w:val="32"/>
          <w:lang w:eastAsia="zh-CN"/>
        </w:rPr>
        <w:t>人员</w:t>
      </w:r>
      <w:r>
        <w:rPr>
          <w:rFonts w:hint="eastAsia" w:ascii="方正仿宋_GBK" w:hAnsi="方正仿宋_GBK" w:eastAsia="方正仿宋_GBK" w:cs="方正仿宋_GBK"/>
          <w:bCs/>
          <w:color w:val="000000"/>
          <w:sz w:val="32"/>
          <w:szCs w:val="32"/>
        </w:rPr>
        <w:t>组成。</w:t>
      </w:r>
    </w:p>
    <w:p w14:paraId="4295E71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bCs/>
          <w:color w:val="000000"/>
          <w:sz w:val="32"/>
          <w:szCs w:val="32"/>
          <w:lang w:eastAsia="zh-CN"/>
        </w:rPr>
      </w:pPr>
      <w:r>
        <w:rPr>
          <w:rFonts w:hint="eastAsia" w:ascii="方正仿宋_GBK" w:hAnsi="方正仿宋_GBK" w:eastAsia="方正仿宋_GBK" w:cs="方正仿宋_GBK"/>
          <w:bCs/>
          <w:color w:val="000000"/>
          <w:sz w:val="32"/>
          <w:szCs w:val="32"/>
        </w:rPr>
        <w:t>组长（总负责人</w:t>
      </w:r>
      <w:r>
        <w:rPr>
          <w:rFonts w:hint="eastAsia" w:ascii="方正仿宋_GBK" w:hAnsi="方正仿宋_GBK" w:eastAsia="方正仿宋_GBK" w:cs="方正仿宋_GBK"/>
          <w:bCs/>
          <w:color w:val="000000"/>
          <w:sz w:val="32"/>
          <w:szCs w:val="32"/>
          <w:lang w:eastAsia="zh-CN"/>
        </w:rPr>
        <w:t>、主评人</w:t>
      </w:r>
      <w:r>
        <w:rPr>
          <w:rFonts w:hint="eastAsia" w:ascii="方正仿宋_GBK" w:hAnsi="方正仿宋_GBK" w:eastAsia="方正仿宋_GBK" w:cs="方正仿宋_GBK"/>
          <w:bCs/>
          <w:color w:val="000000"/>
          <w:sz w:val="32"/>
          <w:szCs w:val="32"/>
        </w:rPr>
        <w:t>）：</w:t>
      </w:r>
      <w:r>
        <w:rPr>
          <w:rFonts w:hint="eastAsia" w:ascii="方正仿宋_GBK" w:hAnsi="方正仿宋_GBK" w:eastAsia="方正仿宋_GBK" w:cs="方正仿宋_GBK"/>
          <w:bCs/>
          <w:color w:val="000000"/>
          <w:sz w:val="32"/>
          <w:szCs w:val="32"/>
          <w:lang w:eastAsia="zh-CN"/>
        </w:rPr>
        <w:t>园长负责统筹规划自评价工作，协调资源、解决重大问题，把控评价结果符合单位战略与政策要求。</w:t>
      </w:r>
      <w:r>
        <w:rPr>
          <w:rFonts w:hint="eastAsia" w:ascii="方正仿宋_GBK" w:hAnsi="方正仿宋_GBK" w:eastAsia="方正仿宋_GBK" w:cs="方正仿宋_GBK"/>
          <w:bCs/>
          <w:color w:val="000000"/>
          <w:sz w:val="32"/>
          <w:szCs w:val="32"/>
        </w:rPr>
        <w:t xml:space="preserve"> </w:t>
      </w:r>
    </w:p>
    <w:p w14:paraId="2EA996F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bCs/>
          <w:color w:val="000000"/>
          <w:sz w:val="32"/>
          <w:szCs w:val="32"/>
          <w:lang w:eastAsia="zh-CN"/>
        </w:rPr>
      </w:pPr>
      <w:r>
        <w:rPr>
          <w:rFonts w:hint="eastAsia" w:ascii="方正仿宋_GBK" w:hAnsi="方正仿宋_GBK" w:eastAsia="方正仿宋_GBK" w:cs="方正仿宋_GBK"/>
          <w:bCs/>
          <w:color w:val="000000"/>
          <w:sz w:val="32"/>
          <w:szCs w:val="32"/>
          <w:lang w:eastAsia="zh-CN"/>
        </w:rPr>
        <w:t>财务人员</w:t>
      </w:r>
      <w:r>
        <w:rPr>
          <w:rFonts w:hint="eastAsia" w:ascii="方正仿宋_GBK" w:hAnsi="方正仿宋_GBK" w:eastAsia="方正仿宋_GBK" w:cs="方正仿宋_GBK"/>
          <w:bCs/>
          <w:color w:val="000000"/>
          <w:sz w:val="32"/>
          <w:szCs w:val="32"/>
        </w:rPr>
        <w:t>：统筹规划自评价工作，依据单位职责，整体绩效目标及专项绩效目标，从部门决策和管理、部门管理、部门履职、履职绩效及满意度等组织</w:t>
      </w:r>
      <w:r>
        <w:rPr>
          <w:rFonts w:hint="eastAsia" w:ascii="方正仿宋_GBK" w:hAnsi="方正仿宋_GBK" w:eastAsia="方正仿宋_GBK" w:cs="方正仿宋_GBK"/>
          <w:bCs/>
          <w:color w:val="000000"/>
          <w:sz w:val="32"/>
          <w:szCs w:val="32"/>
          <w:lang w:eastAsia="zh-CN"/>
        </w:rPr>
        <w:t>各业务部门</w:t>
      </w:r>
      <w:r>
        <w:rPr>
          <w:rFonts w:hint="eastAsia" w:ascii="方正仿宋_GBK" w:hAnsi="方正仿宋_GBK" w:eastAsia="方正仿宋_GBK" w:cs="方正仿宋_GBK"/>
          <w:bCs/>
          <w:color w:val="000000"/>
          <w:sz w:val="32"/>
          <w:szCs w:val="32"/>
        </w:rPr>
        <w:t>设定绩效评价标准体系及评分标准，并针对最终完成情况进行综合评分</w:t>
      </w:r>
      <w:r>
        <w:rPr>
          <w:rFonts w:hint="eastAsia" w:ascii="方正仿宋_GBK" w:hAnsi="方正仿宋_GBK" w:eastAsia="方正仿宋_GBK" w:cs="方正仿宋_GBK"/>
          <w:bCs/>
          <w:color w:val="000000"/>
          <w:sz w:val="32"/>
          <w:szCs w:val="32"/>
          <w:lang w:eastAsia="zh-CN"/>
        </w:rPr>
        <w:t>。</w:t>
      </w:r>
    </w:p>
    <w:p w14:paraId="611E3A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Cs/>
          <w:color w:val="000000"/>
          <w:sz w:val="32"/>
          <w:szCs w:val="32"/>
        </w:rPr>
      </w:pPr>
      <w:r>
        <w:rPr>
          <w:rFonts w:hint="eastAsia" w:ascii="方正仿宋_GBK" w:hAnsi="方正仿宋_GBK" w:eastAsia="方正仿宋_GBK" w:cs="方正仿宋_GBK"/>
          <w:bCs/>
          <w:color w:val="000000"/>
          <w:sz w:val="32"/>
          <w:szCs w:val="32"/>
        </w:rPr>
        <w:t>各业务</w:t>
      </w:r>
      <w:r>
        <w:rPr>
          <w:rFonts w:hint="eastAsia" w:ascii="方正仿宋_GBK" w:hAnsi="方正仿宋_GBK" w:eastAsia="方正仿宋_GBK" w:cs="方正仿宋_GBK"/>
          <w:bCs/>
          <w:color w:val="000000"/>
          <w:sz w:val="32"/>
          <w:szCs w:val="32"/>
          <w:lang w:eastAsia="zh-CN"/>
        </w:rPr>
        <w:t>部门</w:t>
      </w:r>
      <w:r>
        <w:rPr>
          <w:rFonts w:hint="eastAsia" w:ascii="方正仿宋_GBK" w:hAnsi="方正仿宋_GBK" w:eastAsia="方正仿宋_GBK" w:cs="方正仿宋_GBK"/>
          <w:bCs/>
          <w:color w:val="000000"/>
          <w:sz w:val="32"/>
          <w:szCs w:val="32"/>
        </w:rPr>
        <w:t>：根据确定的绩效评价标准体系及评分标准，结合各部门年度绩效目标，对整体绩效综合评价表中的三级指标细化评分点，并根据年度工作完成情况，收集整理相应佐证资料。</w:t>
      </w:r>
    </w:p>
    <w:p w14:paraId="4F2955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Cs/>
          <w:color w:val="000000"/>
          <w:sz w:val="32"/>
          <w:szCs w:val="32"/>
          <w:lang w:val="en-US" w:eastAsia="zh-CN"/>
        </w:rPr>
        <w:t xml:space="preserve">3.评价过程      </w:t>
      </w:r>
    </w:p>
    <w:p w14:paraId="5C07B99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color w:val="000000"/>
          <w:sz w:val="32"/>
          <w:szCs w:val="32"/>
        </w:rPr>
        <w:t>通过部门访谈、查看现场、发放满意度问卷等方式获取部门及项目有关的信息，深入了解部门职能、预算编制、预算执行情况、项目支出方向、部门产出、部门效益等方面的信息，研发设计了绩效评价指标体系与数据报表体系。通过资料汇总、获取财务数据和各部门提供的相关业务资料，与各业务</w:t>
      </w:r>
      <w:r>
        <w:rPr>
          <w:rFonts w:hint="eastAsia" w:ascii="方正仿宋_GBK" w:hAnsi="方正仿宋_GBK" w:eastAsia="方正仿宋_GBK" w:cs="方正仿宋_GBK"/>
          <w:bCs/>
          <w:color w:val="000000"/>
          <w:sz w:val="32"/>
          <w:szCs w:val="32"/>
          <w:lang w:eastAsia="zh-CN"/>
        </w:rPr>
        <w:t>部门</w:t>
      </w:r>
      <w:r>
        <w:rPr>
          <w:rFonts w:hint="eastAsia" w:ascii="方正仿宋_GBK" w:hAnsi="方正仿宋_GBK" w:eastAsia="方正仿宋_GBK" w:cs="方正仿宋_GBK"/>
          <w:bCs/>
          <w:color w:val="000000"/>
          <w:sz w:val="32"/>
          <w:szCs w:val="32"/>
        </w:rPr>
        <w:t>进行沟通反馈，并依据制订的评价标准进行了评分，完成了绩效评价报告。</w:t>
      </w:r>
    </w:p>
    <w:p w14:paraId="7E73A9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Cs/>
          <w:color w:val="000000"/>
          <w:sz w:val="32"/>
          <w:szCs w:val="32"/>
          <w:lang w:val="en-US" w:eastAsia="zh-CN"/>
        </w:rPr>
      </w:pPr>
      <w:r>
        <w:rPr>
          <w:rFonts w:hint="eastAsia" w:ascii="方正仿宋_GBK" w:hAnsi="方正仿宋_GBK" w:eastAsia="方正仿宋_GBK" w:cs="方正仿宋_GBK"/>
          <w:bCs/>
          <w:color w:val="000000"/>
          <w:sz w:val="32"/>
          <w:szCs w:val="32"/>
          <w:lang w:val="en-US" w:eastAsia="zh-CN"/>
        </w:rPr>
        <w:t>4.评价指标体系</w:t>
      </w:r>
    </w:p>
    <w:p w14:paraId="74BC355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bCs/>
          <w:color w:val="000000"/>
          <w:sz w:val="32"/>
          <w:szCs w:val="32"/>
          <w:lang w:eastAsia="zh-CN"/>
        </w:rPr>
      </w:pPr>
      <w:r>
        <w:rPr>
          <w:rFonts w:hint="eastAsia" w:ascii="方正仿宋_GBK" w:hAnsi="方正仿宋_GBK" w:eastAsia="方正仿宋_GBK" w:cs="方正仿宋_GBK"/>
          <w:bCs/>
          <w:color w:val="000000"/>
          <w:sz w:val="32"/>
          <w:szCs w:val="32"/>
          <w:lang w:eastAsia="zh-CN"/>
        </w:rPr>
        <w:t>本单位评价指标体系按照以下方法设置：</w:t>
      </w:r>
    </w:p>
    <w:p w14:paraId="5302E80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Cs/>
          <w:color w:val="000000"/>
          <w:sz w:val="32"/>
          <w:szCs w:val="32"/>
          <w:lang w:eastAsia="zh-CN"/>
        </w:rPr>
        <w:t>一级指标包括</w:t>
      </w:r>
      <w:r>
        <w:rPr>
          <w:rFonts w:hint="eastAsia" w:ascii="方正仿宋_GBK" w:hAnsi="方正仿宋_GBK" w:eastAsia="方正仿宋_GBK" w:cs="方正仿宋_GBK"/>
          <w:bCs/>
          <w:color w:val="000000"/>
          <w:sz w:val="32"/>
          <w:szCs w:val="32"/>
          <w:lang w:val="en-US" w:eastAsia="zh-CN"/>
        </w:rPr>
        <w:t>5</w:t>
      </w:r>
      <w:r>
        <w:rPr>
          <w:rFonts w:hint="eastAsia" w:ascii="方正仿宋_GBK" w:hAnsi="方正仿宋_GBK" w:eastAsia="方正仿宋_GBK" w:cs="方正仿宋_GBK"/>
          <w:bCs/>
          <w:color w:val="000000"/>
          <w:sz w:val="32"/>
          <w:szCs w:val="32"/>
          <w:lang w:eastAsia="zh-CN"/>
        </w:rPr>
        <w:t>项，分别为A部门决策、B部门管理、C部门履职、D履职绩效、E可持续发展能力。二级指标包括</w:t>
      </w:r>
      <w:r>
        <w:rPr>
          <w:rFonts w:hint="eastAsia" w:ascii="方正仿宋_GBK" w:hAnsi="方正仿宋_GBK" w:eastAsia="方正仿宋_GBK" w:cs="方正仿宋_GBK"/>
          <w:bCs/>
          <w:color w:val="000000"/>
          <w:sz w:val="32"/>
          <w:szCs w:val="32"/>
          <w:lang w:val="en-US" w:eastAsia="zh-CN"/>
        </w:rPr>
        <w:t>18</w:t>
      </w:r>
      <w:r>
        <w:rPr>
          <w:rFonts w:hint="eastAsia" w:ascii="方正仿宋_GBK" w:hAnsi="方正仿宋_GBK" w:eastAsia="方正仿宋_GBK" w:cs="方正仿宋_GBK"/>
          <w:bCs/>
          <w:color w:val="000000"/>
          <w:sz w:val="32"/>
          <w:szCs w:val="32"/>
          <w:lang w:eastAsia="zh-CN"/>
        </w:rPr>
        <w:t>项，其中A、B类二级指标主要考核决策及管理情况，CDE类二级指标主要考核履职情况、绩效表现及可持续发展能力。结合各部门年度绩效目标对C类指标进行分解，主要包括C1幼儿园保教工作完成情况、C2教师专业发展完成情况、C3幼儿园环境创设完成情况、C4保教设施设备，信息化管理完成情况。D类指标主要包括社会效益及满意度，其中社会效益指标指共建帮扶及送教情况，满意度指标主要考核评议群体对幼儿园工作满意度。E类指标主要是本单位信息化进展情况及创新举措。指标设置完成后，分别对每一项指标的分值、目标值、评分说明和评分依据进行设定，并对指标进行解释，最后依据实际完成情况进行打分。</w:t>
      </w:r>
    </w:p>
    <w:p w14:paraId="5B759E8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eastAsia="zh-CN"/>
        </w:rPr>
        <w:sectPr>
          <w:headerReference r:id="rId3" w:type="default"/>
          <w:footerReference r:id="rId5" w:type="default"/>
          <w:headerReference r:id="rId4" w:type="even"/>
          <w:footerReference r:id="rId6" w:type="even"/>
          <w:type w:val="continuous"/>
          <w:pgSz w:w="11907" w:h="16839"/>
          <w:pgMar w:top="2098" w:right="1587" w:bottom="1701" w:left="1588" w:header="851" w:footer="1400" w:gutter="0"/>
          <w:pgNumType w:fmt="numberInDash"/>
          <w:cols w:space="720" w:num="1"/>
          <w:docGrid w:type="linesAndChars" w:linePitch="579" w:charSpace="0"/>
        </w:sectPr>
      </w:pPr>
      <w:r>
        <w:rPr>
          <w:rFonts w:hint="eastAsia" w:ascii="方正仿宋_GBK" w:hAnsi="方正仿宋_GBK" w:eastAsia="方正仿宋_GBK" w:cs="方正仿宋_GBK"/>
          <w:color w:val="auto"/>
          <w:kern w:val="0"/>
          <w:sz w:val="32"/>
          <w:szCs w:val="32"/>
          <w:highlight w:val="none"/>
        </w:rPr>
        <w:t>详见</w:t>
      </w:r>
      <w:r>
        <w:rPr>
          <w:rFonts w:hint="eastAsia" w:ascii="方正仿宋_GBK" w:hAnsi="方正仿宋_GBK" w:eastAsia="方正仿宋_GBK" w:cs="方正仿宋_GBK"/>
          <w:color w:val="auto"/>
          <w:kern w:val="0"/>
          <w:sz w:val="32"/>
          <w:szCs w:val="32"/>
          <w:highlight w:val="none"/>
          <w:lang w:eastAsia="zh-CN"/>
        </w:rPr>
        <w:t>《</w:t>
      </w:r>
      <w:r>
        <w:rPr>
          <w:rFonts w:hint="eastAsia" w:ascii="方正仿宋_GBK" w:hAnsi="方正仿宋_GBK" w:eastAsia="方正仿宋_GBK" w:cs="方正仿宋_GBK"/>
          <w:color w:val="auto"/>
          <w:kern w:val="0"/>
          <w:sz w:val="32"/>
          <w:szCs w:val="32"/>
          <w:highlight w:val="none"/>
        </w:rPr>
        <w:t>202</w:t>
      </w:r>
      <w:r>
        <w:rPr>
          <w:rFonts w:hint="eastAsia" w:ascii="方正仿宋_GBK" w:hAnsi="方正仿宋_GBK" w:eastAsia="方正仿宋_GBK" w:cs="方正仿宋_GBK"/>
          <w:color w:val="auto"/>
          <w:kern w:val="0"/>
          <w:sz w:val="32"/>
          <w:szCs w:val="32"/>
          <w:highlight w:val="none"/>
          <w:lang w:val="en-US" w:eastAsia="zh-CN"/>
        </w:rPr>
        <w:t>5</w:t>
      </w:r>
      <w:r>
        <w:rPr>
          <w:rFonts w:hint="eastAsia" w:ascii="方正仿宋_GBK" w:hAnsi="方正仿宋_GBK" w:eastAsia="方正仿宋_GBK" w:cs="方正仿宋_GBK"/>
          <w:color w:val="auto"/>
          <w:kern w:val="0"/>
          <w:sz w:val="32"/>
          <w:szCs w:val="32"/>
          <w:highlight w:val="none"/>
        </w:rPr>
        <w:t>年南京市六一幼儿园（南京市市级机关第三幼儿园）部门整体绩效评价评</w:t>
      </w:r>
      <w:r>
        <w:rPr>
          <w:rFonts w:hint="eastAsia" w:ascii="方正仿宋_GBK" w:hAnsi="方正仿宋_GBK" w:eastAsia="方正仿宋_GBK" w:cs="方正仿宋_GBK"/>
          <w:color w:val="auto"/>
          <w:kern w:val="0"/>
          <w:sz w:val="32"/>
          <w:szCs w:val="32"/>
          <w:highlight w:val="none"/>
          <w:lang w:eastAsia="zh-CN"/>
        </w:rPr>
        <w:t>分表》。</w:t>
      </w:r>
    </w:p>
    <w:p w14:paraId="1A707AF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宋体" w:hAnsi="宋体" w:eastAsia="宋体" w:cs="宋体"/>
          <w:color w:val="auto"/>
          <w:kern w:val="0"/>
          <w:sz w:val="32"/>
          <w:szCs w:val="32"/>
          <w:highlight w:val="none"/>
        </w:rPr>
      </w:pPr>
    </w:p>
    <w:p w14:paraId="7E023149">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rPr>
        <w:sectPr>
          <w:headerReference r:id="rId7" w:type="default"/>
          <w:footerReference r:id="rId9" w:type="default"/>
          <w:headerReference r:id="rId8" w:type="even"/>
          <w:footerReference r:id="rId10" w:type="even"/>
          <w:type w:val="continuous"/>
          <w:pgSz w:w="11907" w:h="16839"/>
          <w:pgMar w:top="2098" w:right="1474" w:bottom="1985" w:left="1588" w:header="851" w:footer="1400" w:gutter="0"/>
          <w:pgNumType w:fmt="numberInDash"/>
          <w:cols w:space="720" w:num="1"/>
          <w:docGrid w:type="linesAndChars" w:linePitch="579" w:charSpace="0"/>
        </w:sectPr>
      </w:pPr>
      <w:r>
        <w:rPr>
          <w:rFonts w:hint="eastAsia" w:ascii="方正仿宋_GBK" w:hAnsi="方正仿宋_GBK" w:eastAsia="方正仿宋_GBK" w:cs="方正仿宋_GBK"/>
          <w:color w:val="auto"/>
          <w:kern w:val="0"/>
          <w:sz w:val="32"/>
          <w:szCs w:val="32"/>
          <w:highlight w:val="none"/>
        </w:rPr>
        <w:t>附件：202</w:t>
      </w:r>
      <w:r>
        <w:rPr>
          <w:rFonts w:hint="eastAsia" w:ascii="方正仿宋_GBK" w:hAnsi="方正仿宋_GBK" w:eastAsia="方正仿宋_GBK" w:cs="方正仿宋_GBK"/>
          <w:color w:val="auto"/>
          <w:kern w:val="0"/>
          <w:sz w:val="32"/>
          <w:szCs w:val="32"/>
          <w:highlight w:val="none"/>
          <w:lang w:val="en-US" w:eastAsia="zh-CN"/>
        </w:rPr>
        <w:t>5</w:t>
      </w:r>
      <w:r>
        <w:rPr>
          <w:rFonts w:hint="eastAsia" w:ascii="方正仿宋_GBK" w:hAnsi="方正仿宋_GBK" w:eastAsia="方正仿宋_GBK" w:cs="方正仿宋_GBK"/>
          <w:color w:val="auto"/>
          <w:kern w:val="0"/>
          <w:sz w:val="32"/>
          <w:szCs w:val="32"/>
          <w:highlight w:val="none"/>
        </w:rPr>
        <w:t>年南京市六一幼儿园（南京市市级机关第三幼儿园）部门整体绩效评价评分表</w:t>
      </w:r>
    </w:p>
    <w:p w14:paraId="053330F8">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color w:val="auto"/>
          <w:kern w:val="0"/>
          <w:sz w:val="32"/>
          <w:szCs w:val="32"/>
          <w:highlight w:val="none"/>
        </w:rPr>
        <w:sectPr>
          <w:headerReference r:id="rId11" w:type="default"/>
          <w:footerReference r:id="rId13" w:type="default"/>
          <w:headerReference r:id="rId12" w:type="even"/>
          <w:footerReference r:id="rId14" w:type="even"/>
          <w:type w:val="continuous"/>
          <w:pgSz w:w="11907" w:h="16839"/>
          <w:pgMar w:top="2098" w:right="1474" w:bottom="1985" w:left="1588" w:header="851" w:footer="1400" w:gutter="0"/>
          <w:pgNumType w:fmt="numberInDash"/>
          <w:cols w:space="720" w:num="1"/>
          <w:docGrid w:type="linesAndChars" w:linePitch="579" w:charSpace="0"/>
        </w:sectPr>
      </w:pPr>
    </w:p>
    <w:p w14:paraId="7489300F">
      <w:pPr>
        <w:jc w:val="center"/>
        <w:rPr>
          <w:rFonts w:hint="eastAsia" w:ascii="宋体" w:hAnsi="宋体" w:eastAsia="宋体" w:cs="宋体"/>
          <w:color w:val="auto"/>
          <w:kern w:val="0"/>
          <w:sz w:val="44"/>
          <w:szCs w:val="44"/>
          <w:highlight w:val="none"/>
        </w:rPr>
      </w:pPr>
      <w:r>
        <w:rPr>
          <w:rFonts w:hint="eastAsia" w:ascii="宋体" w:hAnsi="宋体" w:eastAsia="宋体" w:cs="宋体"/>
          <w:color w:val="auto"/>
          <w:kern w:val="0"/>
          <w:sz w:val="44"/>
          <w:szCs w:val="44"/>
          <w:highlight w:val="none"/>
        </w:rPr>
        <w:t>202</w:t>
      </w:r>
      <w:r>
        <w:rPr>
          <w:rFonts w:hint="eastAsia" w:ascii="宋体" w:hAnsi="宋体" w:cs="宋体"/>
          <w:color w:val="auto"/>
          <w:kern w:val="0"/>
          <w:sz w:val="44"/>
          <w:szCs w:val="44"/>
          <w:highlight w:val="none"/>
          <w:lang w:val="en-US" w:eastAsia="zh-CN"/>
        </w:rPr>
        <w:t>5</w:t>
      </w:r>
      <w:r>
        <w:rPr>
          <w:rFonts w:hint="eastAsia" w:ascii="宋体" w:hAnsi="宋体" w:eastAsia="宋体" w:cs="宋体"/>
          <w:color w:val="auto"/>
          <w:kern w:val="0"/>
          <w:sz w:val="44"/>
          <w:szCs w:val="44"/>
          <w:highlight w:val="none"/>
        </w:rPr>
        <w:t>年南京市六一幼儿园（南京市市级机关第三幼儿园）</w:t>
      </w:r>
    </w:p>
    <w:p w14:paraId="4C31BCE7">
      <w:pPr>
        <w:jc w:val="center"/>
        <w:rPr>
          <w:rFonts w:hint="eastAsia" w:ascii="宋体" w:hAnsi="宋体" w:eastAsia="宋体" w:cs="宋体"/>
          <w:color w:val="auto"/>
          <w:kern w:val="0"/>
          <w:sz w:val="44"/>
          <w:szCs w:val="44"/>
          <w:highlight w:val="none"/>
        </w:rPr>
      </w:pPr>
      <w:r>
        <w:rPr>
          <w:rFonts w:hint="eastAsia" w:ascii="宋体" w:hAnsi="宋体" w:cs="宋体"/>
          <w:color w:val="auto"/>
          <w:kern w:val="0"/>
          <w:sz w:val="44"/>
          <w:szCs w:val="44"/>
          <w:highlight w:val="none"/>
          <w:lang w:eastAsia="zh-CN"/>
        </w:rPr>
        <w:t>部门</w:t>
      </w:r>
      <w:r>
        <w:rPr>
          <w:rFonts w:hint="eastAsia" w:ascii="宋体" w:hAnsi="宋体" w:eastAsia="宋体" w:cs="宋体"/>
          <w:color w:val="auto"/>
          <w:kern w:val="0"/>
          <w:sz w:val="44"/>
          <w:szCs w:val="44"/>
          <w:highlight w:val="none"/>
        </w:rPr>
        <w:t>整体绩效评价评</w:t>
      </w:r>
      <w:r>
        <w:rPr>
          <w:rFonts w:hint="eastAsia" w:ascii="宋体" w:hAnsi="宋体" w:cs="宋体"/>
          <w:color w:val="auto"/>
          <w:kern w:val="0"/>
          <w:sz w:val="44"/>
          <w:szCs w:val="44"/>
          <w:highlight w:val="none"/>
          <w:lang w:eastAsia="zh-CN"/>
        </w:rPr>
        <w:t>分</w:t>
      </w:r>
      <w:r>
        <w:rPr>
          <w:rFonts w:hint="eastAsia" w:ascii="宋体" w:hAnsi="宋体" w:eastAsia="宋体" w:cs="宋体"/>
          <w:color w:val="auto"/>
          <w:kern w:val="0"/>
          <w:sz w:val="44"/>
          <w:szCs w:val="44"/>
          <w:highlight w:val="none"/>
        </w:rPr>
        <w:t>表</w:t>
      </w:r>
    </w:p>
    <w:tbl>
      <w:tblPr>
        <w:tblStyle w:val="13"/>
        <w:tblW w:w="14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215"/>
        <w:gridCol w:w="1311"/>
        <w:gridCol w:w="700"/>
        <w:gridCol w:w="999"/>
        <w:gridCol w:w="2675"/>
        <w:gridCol w:w="2737"/>
        <w:gridCol w:w="953"/>
        <w:gridCol w:w="2089"/>
      </w:tblGrid>
      <w:tr w14:paraId="4102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441" w:type="dxa"/>
            <w:vAlign w:val="center"/>
          </w:tcPr>
          <w:p w14:paraId="63C2C64C">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一级指标</w:t>
            </w:r>
          </w:p>
        </w:tc>
        <w:tc>
          <w:tcPr>
            <w:tcW w:w="1215" w:type="dxa"/>
            <w:vAlign w:val="center"/>
          </w:tcPr>
          <w:p w14:paraId="0A19DBE1">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二级指标</w:t>
            </w:r>
          </w:p>
        </w:tc>
        <w:tc>
          <w:tcPr>
            <w:tcW w:w="1311" w:type="dxa"/>
            <w:vAlign w:val="center"/>
          </w:tcPr>
          <w:p w14:paraId="1DCDB3D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三级指标</w:t>
            </w:r>
          </w:p>
        </w:tc>
        <w:tc>
          <w:tcPr>
            <w:tcW w:w="700" w:type="dxa"/>
            <w:vAlign w:val="center"/>
          </w:tcPr>
          <w:p w14:paraId="2E494B96">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分值</w:t>
            </w:r>
          </w:p>
        </w:tc>
        <w:tc>
          <w:tcPr>
            <w:tcW w:w="999" w:type="dxa"/>
            <w:vAlign w:val="center"/>
          </w:tcPr>
          <w:p w14:paraId="21943A54">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目标值</w:t>
            </w:r>
          </w:p>
        </w:tc>
        <w:tc>
          <w:tcPr>
            <w:tcW w:w="2675" w:type="dxa"/>
            <w:vAlign w:val="center"/>
          </w:tcPr>
          <w:p w14:paraId="41A86620">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指标解释</w:t>
            </w:r>
          </w:p>
        </w:tc>
        <w:tc>
          <w:tcPr>
            <w:tcW w:w="2737" w:type="dxa"/>
            <w:vAlign w:val="center"/>
          </w:tcPr>
          <w:p w14:paraId="1D0463BC">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评分说明</w:t>
            </w:r>
          </w:p>
        </w:tc>
        <w:tc>
          <w:tcPr>
            <w:tcW w:w="953" w:type="dxa"/>
            <w:vAlign w:val="center"/>
          </w:tcPr>
          <w:p w14:paraId="04435061">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得分</w:t>
            </w:r>
          </w:p>
        </w:tc>
        <w:tc>
          <w:tcPr>
            <w:tcW w:w="2089" w:type="dxa"/>
            <w:vAlign w:val="center"/>
          </w:tcPr>
          <w:p w14:paraId="1BA42E75">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评分依据</w:t>
            </w:r>
          </w:p>
        </w:tc>
      </w:tr>
      <w:tr w14:paraId="1930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441" w:type="dxa"/>
            <w:vMerge w:val="restart"/>
            <w:vAlign w:val="center"/>
          </w:tcPr>
          <w:p w14:paraId="39A290D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A部门决策（15分）</w:t>
            </w:r>
          </w:p>
        </w:tc>
        <w:tc>
          <w:tcPr>
            <w:tcW w:w="1215" w:type="dxa"/>
            <w:vMerge w:val="restart"/>
            <w:vAlign w:val="center"/>
          </w:tcPr>
          <w:p w14:paraId="36C1352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A1决策机制（6分）</w:t>
            </w:r>
          </w:p>
        </w:tc>
        <w:tc>
          <w:tcPr>
            <w:tcW w:w="1311" w:type="dxa"/>
            <w:vAlign w:val="center"/>
          </w:tcPr>
          <w:p w14:paraId="11F8B35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A11决策制度的规范性</w:t>
            </w:r>
          </w:p>
        </w:tc>
        <w:tc>
          <w:tcPr>
            <w:tcW w:w="700" w:type="dxa"/>
            <w:vAlign w:val="center"/>
          </w:tcPr>
          <w:p w14:paraId="127F5DA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4AD10F9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规范</w:t>
            </w:r>
          </w:p>
        </w:tc>
        <w:tc>
          <w:tcPr>
            <w:tcW w:w="2675" w:type="dxa"/>
            <w:vAlign w:val="center"/>
          </w:tcPr>
          <w:p w14:paraId="4010D73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考核部门决策制度的规范性</w:t>
            </w:r>
          </w:p>
        </w:tc>
        <w:tc>
          <w:tcPr>
            <w:tcW w:w="2737" w:type="dxa"/>
            <w:vAlign w:val="center"/>
          </w:tcPr>
          <w:p w14:paraId="10C10FB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部门决策制度规范得满分；部门决策制度较规范得1分；否则不得分。</w:t>
            </w:r>
          </w:p>
        </w:tc>
        <w:tc>
          <w:tcPr>
            <w:tcW w:w="953" w:type="dxa"/>
            <w:noWrap/>
            <w:vAlign w:val="center"/>
          </w:tcPr>
          <w:p w14:paraId="1E6EB4C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1FA6B475">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依据</w:t>
            </w:r>
            <w:r>
              <w:rPr>
                <w:rFonts w:hint="eastAsia" w:ascii="宋体" w:hAnsi="宋体" w:cs="宋体"/>
                <w:color w:val="auto"/>
                <w:kern w:val="0"/>
                <w:sz w:val="24"/>
                <w:highlight w:val="none"/>
                <w:lang w:eastAsia="zh-CN"/>
              </w:rPr>
              <w:t>主管局对</w:t>
            </w:r>
            <w:r>
              <w:rPr>
                <w:rFonts w:hint="eastAsia" w:ascii="宋体" w:hAnsi="宋体" w:eastAsia="宋体" w:cs="宋体"/>
                <w:color w:val="auto"/>
                <w:kern w:val="0"/>
                <w:sz w:val="24"/>
                <w:highlight w:val="none"/>
              </w:rPr>
              <w:t>直属事业单位管理规定进行决策管理。</w:t>
            </w:r>
          </w:p>
        </w:tc>
      </w:tr>
      <w:tr w14:paraId="0FBD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441" w:type="dxa"/>
            <w:vMerge w:val="continue"/>
            <w:vAlign w:val="center"/>
          </w:tcPr>
          <w:p w14:paraId="2FAC26E6">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D67B469">
            <w:pPr>
              <w:spacing w:line="320" w:lineRule="exact"/>
              <w:jc w:val="left"/>
              <w:rPr>
                <w:rFonts w:hint="eastAsia" w:ascii="宋体" w:hAnsi="宋体" w:eastAsia="宋体" w:cs="宋体"/>
                <w:color w:val="auto"/>
                <w:kern w:val="0"/>
                <w:sz w:val="24"/>
                <w:highlight w:val="none"/>
              </w:rPr>
            </w:pPr>
          </w:p>
        </w:tc>
        <w:tc>
          <w:tcPr>
            <w:tcW w:w="1311" w:type="dxa"/>
            <w:vAlign w:val="center"/>
          </w:tcPr>
          <w:p w14:paraId="56CA0AF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A12决策流程的科学性</w:t>
            </w:r>
          </w:p>
        </w:tc>
        <w:tc>
          <w:tcPr>
            <w:tcW w:w="700" w:type="dxa"/>
            <w:vAlign w:val="center"/>
          </w:tcPr>
          <w:p w14:paraId="741DCE9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521E799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科学</w:t>
            </w:r>
          </w:p>
        </w:tc>
        <w:tc>
          <w:tcPr>
            <w:tcW w:w="2675" w:type="dxa"/>
            <w:vAlign w:val="center"/>
          </w:tcPr>
          <w:p w14:paraId="16BE897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考核部门决策流程的科学性</w:t>
            </w:r>
          </w:p>
        </w:tc>
        <w:tc>
          <w:tcPr>
            <w:tcW w:w="2737" w:type="dxa"/>
            <w:vAlign w:val="center"/>
          </w:tcPr>
          <w:p w14:paraId="00260DF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部门决策科学得满分；部门决策较科学得1分；否则不得分。</w:t>
            </w:r>
          </w:p>
        </w:tc>
        <w:tc>
          <w:tcPr>
            <w:tcW w:w="953" w:type="dxa"/>
            <w:noWrap/>
            <w:vAlign w:val="center"/>
          </w:tcPr>
          <w:p w14:paraId="5C0A2719">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321DD0B1">
            <w:pPr>
              <w:spacing w:line="320" w:lineRule="exact"/>
              <w:jc w:val="both"/>
              <w:rPr>
                <w:rFonts w:hint="eastAsia" w:ascii="宋体" w:hAnsi="宋体" w:eastAsia="宋体" w:cs="宋体"/>
                <w:color w:val="0000FF"/>
                <w:kern w:val="0"/>
                <w:sz w:val="24"/>
                <w:highlight w:val="none"/>
              </w:rPr>
            </w:pPr>
            <w:r>
              <w:rPr>
                <w:rFonts w:hint="eastAsia" w:ascii="宋体" w:hAnsi="宋体" w:cs="宋体"/>
                <w:color w:val="auto"/>
                <w:kern w:val="0"/>
                <w:sz w:val="24"/>
                <w:lang w:eastAsia="zh-CN"/>
              </w:rPr>
              <w:t>不断完善幼儿园制度，</w:t>
            </w:r>
            <w:r>
              <w:rPr>
                <w:rFonts w:hint="eastAsia" w:ascii="宋体" w:hAnsi="宋体" w:eastAsia="宋体" w:cs="宋体"/>
                <w:color w:val="auto"/>
                <w:kern w:val="0"/>
                <w:sz w:val="24"/>
              </w:rPr>
              <w:t>以科学管理为保障</w:t>
            </w:r>
            <w:r>
              <w:rPr>
                <w:rFonts w:hint="eastAsia" w:ascii="宋体" w:hAnsi="宋体" w:eastAsia="宋体" w:cs="宋体"/>
                <w:color w:val="auto"/>
                <w:sz w:val="24"/>
                <w:highlight w:val="none"/>
              </w:rPr>
              <w:t>。</w:t>
            </w:r>
          </w:p>
        </w:tc>
      </w:tr>
      <w:tr w14:paraId="2919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441" w:type="dxa"/>
            <w:vMerge w:val="continue"/>
            <w:vAlign w:val="center"/>
          </w:tcPr>
          <w:p w14:paraId="299ADF7F">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04E60AFF">
            <w:pPr>
              <w:spacing w:line="320" w:lineRule="exact"/>
              <w:jc w:val="left"/>
              <w:rPr>
                <w:rFonts w:hint="eastAsia" w:ascii="宋体" w:hAnsi="宋体" w:eastAsia="宋体" w:cs="宋体"/>
                <w:color w:val="auto"/>
                <w:kern w:val="0"/>
                <w:sz w:val="24"/>
                <w:highlight w:val="none"/>
              </w:rPr>
            </w:pPr>
          </w:p>
        </w:tc>
        <w:tc>
          <w:tcPr>
            <w:tcW w:w="1311" w:type="dxa"/>
            <w:vAlign w:val="center"/>
          </w:tcPr>
          <w:p w14:paraId="200C2BE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A13决策执行监督制衡机制</w:t>
            </w:r>
          </w:p>
        </w:tc>
        <w:tc>
          <w:tcPr>
            <w:tcW w:w="700" w:type="dxa"/>
            <w:vAlign w:val="center"/>
          </w:tcPr>
          <w:p w14:paraId="2C26700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55780AA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制衡</w:t>
            </w:r>
          </w:p>
        </w:tc>
        <w:tc>
          <w:tcPr>
            <w:tcW w:w="2675" w:type="dxa"/>
            <w:vAlign w:val="center"/>
          </w:tcPr>
          <w:p w14:paraId="13C9E57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考核决策执行监督制衡机制</w:t>
            </w:r>
          </w:p>
        </w:tc>
        <w:tc>
          <w:tcPr>
            <w:tcW w:w="2737" w:type="dxa"/>
            <w:vAlign w:val="center"/>
          </w:tcPr>
          <w:p w14:paraId="676FD9E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决策执行监督制衡机制健全得满分；一般得1分；否则不得分。</w:t>
            </w:r>
          </w:p>
        </w:tc>
        <w:tc>
          <w:tcPr>
            <w:tcW w:w="953" w:type="dxa"/>
            <w:noWrap/>
            <w:vAlign w:val="center"/>
          </w:tcPr>
          <w:p w14:paraId="0E4D47B8">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6B3B022F">
            <w:pPr>
              <w:spacing w:line="320" w:lineRule="exact"/>
              <w:jc w:val="both"/>
              <w:rPr>
                <w:rFonts w:hint="eastAsia" w:ascii="宋体" w:hAnsi="宋体" w:eastAsia="宋体" w:cs="宋体"/>
                <w:color w:val="0000FF"/>
                <w:kern w:val="0"/>
                <w:sz w:val="24"/>
                <w:highlight w:val="none"/>
              </w:rPr>
            </w:pPr>
            <w:r>
              <w:rPr>
                <w:rFonts w:hint="eastAsia" w:ascii="宋体" w:hAnsi="宋体" w:eastAsia="宋体" w:cs="宋体"/>
                <w:color w:val="auto"/>
                <w:kern w:val="0"/>
                <w:sz w:val="24"/>
              </w:rPr>
              <w:t>按科学设置、各负其责、相互配合</w:t>
            </w:r>
            <w:r>
              <w:rPr>
                <w:rFonts w:hint="eastAsia" w:ascii="宋体" w:hAnsi="宋体" w:cs="宋体"/>
                <w:color w:val="auto"/>
                <w:kern w:val="0"/>
                <w:sz w:val="24"/>
                <w:lang w:eastAsia="zh-CN"/>
              </w:rPr>
              <w:t>、</w:t>
            </w:r>
            <w:r>
              <w:rPr>
                <w:rFonts w:hint="eastAsia" w:ascii="宋体" w:hAnsi="宋体" w:eastAsia="宋体" w:cs="宋体"/>
                <w:color w:val="auto"/>
                <w:kern w:val="0"/>
                <w:sz w:val="24"/>
              </w:rPr>
              <w:t>有效制约的原则，</w:t>
            </w:r>
            <w:r>
              <w:rPr>
                <w:rFonts w:hint="eastAsia" w:ascii="宋体" w:hAnsi="宋体" w:cs="宋体"/>
                <w:color w:val="auto"/>
                <w:kern w:val="0"/>
                <w:sz w:val="24"/>
                <w:lang w:eastAsia="zh-CN"/>
              </w:rPr>
              <w:t>合理</w:t>
            </w:r>
            <w:r>
              <w:rPr>
                <w:rFonts w:hint="eastAsia" w:ascii="宋体" w:hAnsi="宋体" w:eastAsia="宋体" w:cs="宋体"/>
                <w:color w:val="auto"/>
                <w:kern w:val="0"/>
                <w:sz w:val="24"/>
              </w:rPr>
              <w:t>分配职权。</w:t>
            </w:r>
          </w:p>
        </w:tc>
      </w:tr>
      <w:tr w14:paraId="11C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1441" w:type="dxa"/>
            <w:vMerge w:val="continue"/>
            <w:vAlign w:val="center"/>
          </w:tcPr>
          <w:p w14:paraId="2F0FAFB4">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7063A45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A2中长期规划（4分）</w:t>
            </w:r>
          </w:p>
        </w:tc>
        <w:tc>
          <w:tcPr>
            <w:tcW w:w="1311" w:type="dxa"/>
            <w:vAlign w:val="center"/>
          </w:tcPr>
          <w:p w14:paraId="240A74D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A21中长期规划明确性</w:t>
            </w:r>
          </w:p>
        </w:tc>
        <w:tc>
          <w:tcPr>
            <w:tcW w:w="700" w:type="dxa"/>
            <w:vAlign w:val="center"/>
          </w:tcPr>
          <w:p w14:paraId="7B5AB6E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73FCE6E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明确</w:t>
            </w:r>
          </w:p>
        </w:tc>
        <w:tc>
          <w:tcPr>
            <w:tcW w:w="2675" w:type="dxa"/>
            <w:vAlign w:val="center"/>
          </w:tcPr>
          <w:p w14:paraId="50569EB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部门是否有明确完整的中长期目标</w:t>
            </w:r>
          </w:p>
        </w:tc>
        <w:tc>
          <w:tcPr>
            <w:tcW w:w="2737" w:type="dxa"/>
            <w:vAlign w:val="center"/>
          </w:tcPr>
          <w:p w14:paraId="21E8C2B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部门中长期战略规划明确得1分，完整得1分，否则不得分。</w:t>
            </w:r>
          </w:p>
        </w:tc>
        <w:tc>
          <w:tcPr>
            <w:tcW w:w="953" w:type="dxa"/>
            <w:noWrap/>
            <w:vAlign w:val="center"/>
          </w:tcPr>
          <w:p w14:paraId="4021264C">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4506C20B">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以</w:t>
            </w:r>
            <w:r>
              <w:rPr>
                <w:rFonts w:hint="eastAsia" w:ascii="宋体" w:hAnsi="宋体" w:eastAsia="宋体" w:cs="宋体"/>
                <w:color w:val="auto"/>
                <w:kern w:val="0"/>
                <w:sz w:val="24"/>
                <w:highlight w:val="none"/>
              </w:rPr>
              <w:t>师</w:t>
            </w:r>
            <w:r>
              <w:rPr>
                <w:rFonts w:hint="eastAsia" w:ascii="宋体" w:hAnsi="宋体" w:eastAsia="宋体" w:cs="宋体"/>
                <w:color w:val="auto"/>
                <w:kern w:val="0"/>
                <w:sz w:val="24"/>
                <w:highlight w:val="none"/>
                <w:lang w:eastAsia="zh-CN"/>
              </w:rPr>
              <w:t>幼</w:t>
            </w:r>
            <w:r>
              <w:rPr>
                <w:rFonts w:hint="eastAsia" w:ascii="宋体" w:hAnsi="宋体" w:eastAsia="宋体" w:cs="宋体"/>
                <w:color w:val="auto"/>
                <w:kern w:val="0"/>
                <w:sz w:val="24"/>
                <w:highlight w:val="none"/>
              </w:rPr>
              <w:t>发展</w:t>
            </w:r>
            <w:r>
              <w:rPr>
                <w:rFonts w:hint="eastAsia" w:ascii="宋体" w:hAnsi="宋体" w:eastAsia="宋体" w:cs="宋体"/>
                <w:color w:val="auto"/>
                <w:kern w:val="0"/>
                <w:sz w:val="24"/>
                <w:highlight w:val="none"/>
                <w:lang w:eastAsia="zh-CN"/>
              </w:rPr>
              <w:t>为根本</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有明确完整的中长期目标。</w:t>
            </w:r>
          </w:p>
        </w:tc>
      </w:tr>
      <w:tr w14:paraId="55B1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441" w:type="dxa"/>
            <w:vMerge w:val="continue"/>
            <w:vAlign w:val="center"/>
          </w:tcPr>
          <w:p w14:paraId="34B1CCFD">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03D6CDBC">
            <w:pPr>
              <w:spacing w:line="320" w:lineRule="exact"/>
              <w:jc w:val="left"/>
              <w:rPr>
                <w:rFonts w:hint="eastAsia" w:ascii="宋体" w:hAnsi="宋体" w:eastAsia="宋体" w:cs="宋体"/>
                <w:color w:val="auto"/>
                <w:kern w:val="0"/>
                <w:sz w:val="24"/>
                <w:highlight w:val="none"/>
              </w:rPr>
            </w:pPr>
          </w:p>
        </w:tc>
        <w:tc>
          <w:tcPr>
            <w:tcW w:w="1311" w:type="dxa"/>
            <w:vAlign w:val="center"/>
          </w:tcPr>
          <w:p w14:paraId="5E10F05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A22中长期规划与部门职能的匹配性</w:t>
            </w:r>
          </w:p>
        </w:tc>
        <w:tc>
          <w:tcPr>
            <w:tcW w:w="700" w:type="dxa"/>
            <w:vAlign w:val="center"/>
          </w:tcPr>
          <w:p w14:paraId="4CE1C95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5C34F1B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匹配</w:t>
            </w:r>
          </w:p>
        </w:tc>
        <w:tc>
          <w:tcPr>
            <w:tcW w:w="2675" w:type="dxa"/>
            <w:vAlign w:val="center"/>
          </w:tcPr>
          <w:p w14:paraId="0F28932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考核中长期规划与部门职能的匹配性</w:t>
            </w:r>
          </w:p>
        </w:tc>
        <w:tc>
          <w:tcPr>
            <w:tcW w:w="2737" w:type="dxa"/>
            <w:vAlign w:val="center"/>
          </w:tcPr>
          <w:p w14:paraId="351E3B2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中长期规划与部门职能匹配得2分，否则不得分。</w:t>
            </w:r>
          </w:p>
        </w:tc>
        <w:tc>
          <w:tcPr>
            <w:tcW w:w="953" w:type="dxa"/>
            <w:noWrap/>
            <w:vAlign w:val="center"/>
          </w:tcPr>
          <w:p w14:paraId="2105B507">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34769BE5">
            <w:pPr>
              <w:spacing w:line="320" w:lineRule="exact"/>
              <w:jc w:val="both"/>
              <w:rPr>
                <w:rFonts w:hint="eastAsia" w:ascii="宋体" w:hAnsi="宋体" w:eastAsia="宋体" w:cs="宋体"/>
                <w:color w:val="auto"/>
                <w:kern w:val="0"/>
                <w:sz w:val="24"/>
                <w:highlight w:val="none"/>
                <w:lang w:eastAsia="zh-CN"/>
              </w:rPr>
            </w:pPr>
            <w:r>
              <w:rPr>
                <w:rFonts w:hint="eastAsia" w:ascii="宋体" w:hAnsi="宋体" w:cs="宋体"/>
                <w:color w:val="auto"/>
                <w:sz w:val="24"/>
                <w:highlight w:val="none"/>
                <w:lang w:eastAsia="zh-CN"/>
              </w:rPr>
              <w:t>中长期规划</w:t>
            </w:r>
            <w:r>
              <w:rPr>
                <w:rFonts w:hint="eastAsia" w:ascii="宋体" w:hAnsi="宋体" w:eastAsia="宋体" w:cs="宋体"/>
                <w:color w:val="auto"/>
                <w:sz w:val="24"/>
                <w:highlight w:val="none"/>
              </w:rPr>
              <w:t>与部门职能</w:t>
            </w:r>
            <w:r>
              <w:rPr>
                <w:rFonts w:hint="eastAsia" w:ascii="宋体" w:hAnsi="宋体" w:cs="宋体"/>
                <w:color w:val="auto"/>
                <w:sz w:val="24"/>
                <w:highlight w:val="none"/>
                <w:lang w:eastAsia="zh-CN"/>
              </w:rPr>
              <w:t>匹配。</w:t>
            </w:r>
          </w:p>
        </w:tc>
      </w:tr>
      <w:tr w14:paraId="2847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1441" w:type="dxa"/>
            <w:vMerge w:val="continue"/>
            <w:vAlign w:val="center"/>
          </w:tcPr>
          <w:p w14:paraId="120501F0">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101FE4A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A3年度工作计划（2分）</w:t>
            </w:r>
          </w:p>
        </w:tc>
        <w:tc>
          <w:tcPr>
            <w:tcW w:w="1311" w:type="dxa"/>
            <w:vAlign w:val="center"/>
          </w:tcPr>
          <w:p w14:paraId="5B4D3C4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A31年度工作计划明确性</w:t>
            </w:r>
          </w:p>
        </w:tc>
        <w:tc>
          <w:tcPr>
            <w:tcW w:w="700" w:type="dxa"/>
            <w:vAlign w:val="center"/>
          </w:tcPr>
          <w:p w14:paraId="4C549AA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F18938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明确</w:t>
            </w:r>
          </w:p>
        </w:tc>
        <w:tc>
          <w:tcPr>
            <w:tcW w:w="2675" w:type="dxa"/>
            <w:vAlign w:val="center"/>
          </w:tcPr>
          <w:p w14:paraId="24A057B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部门是否有明确完整的年度工作计划目标</w:t>
            </w:r>
          </w:p>
        </w:tc>
        <w:tc>
          <w:tcPr>
            <w:tcW w:w="2737" w:type="dxa"/>
            <w:vAlign w:val="center"/>
          </w:tcPr>
          <w:p w14:paraId="6482849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年度工作计划明确得0.5分，完整得0.5分。</w:t>
            </w:r>
          </w:p>
        </w:tc>
        <w:tc>
          <w:tcPr>
            <w:tcW w:w="953" w:type="dxa"/>
            <w:noWrap/>
            <w:vAlign w:val="center"/>
          </w:tcPr>
          <w:p w14:paraId="33DF414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38AE33D7">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按学期、年度分别制定明确完整、内容清晰的工作计划。</w:t>
            </w:r>
          </w:p>
        </w:tc>
      </w:tr>
      <w:tr w14:paraId="28D7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441" w:type="dxa"/>
            <w:vMerge w:val="continue"/>
            <w:vAlign w:val="center"/>
          </w:tcPr>
          <w:p w14:paraId="389B01DD">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74A3F352">
            <w:pPr>
              <w:spacing w:line="320" w:lineRule="exact"/>
              <w:jc w:val="left"/>
              <w:rPr>
                <w:rFonts w:hint="eastAsia" w:ascii="宋体" w:hAnsi="宋体" w:eastAsia="宋体" w:cs="宋体"/>
                <w:color w:val="auto"/>
                <w:kern w:val="0"/>
                <w:sz w:val="24"/>
                <w:highlight w:val="none"/>
              </w:rPr>
            </w:pPr>
          </w:p>
        </w:tc>
        <w:tc>
          <w:tcPr>
            <w:tcW w:w="1311" w:type="dxa"/>
            <w:vAlign w:val="center"/>
          </w:tcPr>
          <w:p w14:paraId="0295563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A32年度工作计划与部门职能的匹配性</w:t>
            </w:r>
          </w:p>
        </w:tc>
        <w:tc>
          <w:tcPr>
            <w:tcW w:w="700" w:type="dxa"/>
            <w:vAlign w:val="center"/>
          </w:tcPr>
          <w:p w14:paraId="751CABF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4D93A18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匹配</w:t>
            </w:r>
          </w:p>
        </w:tc>
        <w:tc>
          <w:tcPr>
            <w:tcW w:w="2675" w:type="dxa"/>
            <w:vAlign w:val="center"/>
          </w:tcPr>
          <w:p w14:paraId="0D4BA04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考核年度工作计划与部门职能的匹配性。</w:t>
            </w:r>
          </w:p>
        </w:tc>
        <w:tc>
          <w:tcPr>
            <w:tcW w:w="2737" w:type="dxa"/>
            <w:vAlign w:val="center"/>
          </w:tcPr>
          <w:p w14:paraId="345F36A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年度工作计划与部门职能匹配得满分，否则不得分</w:t>
            </w:r>
          </w:p>
        </w:tc>
        <w:tc>
          <w:tcPr>
            <w:tcW w:w="953" w:type="dxa"/>
            <w:noWrap/>
            <w:vAlign w:val="center"/>
          </w:tcPr>
          <w:p w14:paraId="058FEDF8">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05EB9BC1">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按照幼儿园职能制定</w:t>
            </w:r>
            <w:r>
              <w:rPr>
                <w:rFonts w:hint="eastAsia" w:ascii="宋体" w:hAnsi="宋体" w:cs="宋体"/>
                <w:color w:val="auto"/>
                <w:kern w:val="0"/>
                <w:sz w:val="24"/>
                <w:highlight w:val="none"/>
                <w:lang w:eastAsia="zh-CN"/>
              </w:rPr>
              <w:t>匹配的</w:t>
            </w:r>
            <w:r>
              <w:rPr>
                <w:rFonts w:hint="eastAsia" w:ascii="宋体" w:hAnsi="宋体" w:eastAsia="宋体" w:cs="宋体"/>
                <w:color w:val="auto"/>
                <w:kern w:val="0"/>
                <w:sz w:val="24"/>
                <w:highlight w:val="none"/>
              </w:rPr>
              <w:t>年度工作计划。</w:t>
            </w:r>
          </w:p>
        </w:tc>
      </w:tr>
      <w:tr w14:paraId="22D6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7DA2EE17">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04FE944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A4部门预算编制（3分）</w:t>
            </w:r>
          </w:p>
        </w:tc>
        <w:tc>
          <w:tcPr>
            <w:tcW w:w="1311" w:type="dxa"/>
            <w:vAlign w:val="center"/>
          </w:tcPr>
          <w:p w14:paraId="4CCD7F8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A41预算编制科学规范</w:t>
            </w:r>
          </w:p>
        </w:tc>
        <w:tc>
          <w:tcPr>
            <w:tcW w:w="700" w:type="dxa"/>
            <w:vAlign w:val="center"/>
          </w:tcPr>
          <w:p w14:paraId="55F3411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08EB2CB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规范</w:t>
            </w:r>
          </w:p>
        </w:tc>
        <w:tc>
          <w:tcPr>
            <w:tcW w:w="2675" w:type="dxa"/>
            <w:vAlign w:val="center"/>
          </w:tcPr>
          <w:p w14:paraId="07EE6EE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考核预算编制是否科学规范</w:t>
            </w:r>
          </w:p>
        </w:tc>
        <w:tc>
          <w:tcPr>
            <w:tcW w:w="2737" w:type="dxa"/>
            <w:vAlign w:val="center"/>
          </w:tcPr>
          <w:p w14:paraId="6D0E3D1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预算编制科学得1分，规范得1分。</w:t>
            </w:r>
          </w:p>
        </w:tc>
        <w:tc>
          <w:tcPr>
            <w:tcW w:w="953" w:type="dxa"/>
            <w:noWrap/>
            <w:vAlign w:val="center"/>
          </w:tcPr>
          <w:p w14:paraId="28B38882">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w:t>
            </w:r>
          </w:p>
        </w:tc>
        <w:tc>
          <w:tcPr>
            <w:tcW w:w="2089" w:type="dxa"/>
            <w:vAlign w:val="center"/>
          </w:tcPr>
          <w:p w14:paraId="7A0774A0">
            <w:pPr>
              <w:spacing w:line="320" w:lineRule="exact"/>
              <w:jc w:val="both"/>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按照</w:t>
            </w:r>
            <w:r>
              <w:rPr>
                <w:rFonts w:hint="eastAsia" w:ascii="宋体" w:hAnsi="宋体" w:eastAsia="宋体" w:cs="宋体"/>
                <w:color w:val="auto"/>
                <w:kern w:val="0"/>
                <w:sz w:val="24"/>
                <w:highlight w:val="none"/>
                <w:lang w:eastAsia="zh-CN"/>
              </w:rPr>
              <w:t>财政部门要求及幼儿园实际</w:t>
            </w:r>
            <w:r>
              <w:rPr>
                <w:rFonts w:hint="eastAsia" w:ascii="宋体" w:hAnsi="宋体" w:cs="宋体"/>
                <w:color w:val="auto"/>
                <w:kern w:val="0"/>
                <w:sz w:val="24"/>
                <w:highlight w:val="none"/>
                <w:lang w:eastAsia="zh-CN"/>
              </w:rPr>
              <w:t>编制</w:t>
            </w:r>
            <w:r>
              <w:rPr>
                <w:rFonts w:hint="eastAsia" w:ascii="宋体" w:hAnsi="宋体" w:eastAsia="宋体" w:cs="宋体"/>
                <w:color w:val="auto"/>
                <w:kern w:val="0"/>
                <w:sz w:val="24"/>
                <w:highlight w:val="none"/>
              </w:rPr>
              <w:t>预算</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流程</w:t>
            </w:r>
            <w:r>
              <w:rPr>
                <w:rFonts w:hint="eastAsia" w:ascii="宋体" w:hAnsi="宋体" w:eastAsia="宋体" w:cs="宋体"/>
                <w:color w:val="auto"/>
                <w:kern w:val="0"/>
                <w:sz w:val="24"/>
                <w:highlight w:val="none"/>
              </w:rPr>
              <w:t>较科学</w:t>
            </w:r>
            <w:r>
              <w:rPr>
                <w:rFonts w:hint="eastAsia" w:ascii="宋体" w:hAnsi="宋体" w:cs="宋体"/>
                <w:color w:val="auto"/>
                <w:kern w:val="0"/>
                <w:sz w:val="24"/>
                <w:highlight w:val="none"/>
                <w:lang w:eastAsia="zh-CN"/>
              </w:rPr>
              <w:t>、规范</w:t>
            </w:r>
            <w:r>
              <w:rPr>
                <w:rFonts w:hint="eastAsia" w:ascii="宋体" w:hAnsi="宋体" w:eastAsia="宋体" w:cs="宋体"/>
                <w:color w:val="auto"/>
                <w:kern w:val="0"/>
                <w:sz w:val="24"/>
                <w:highlight w:val="none"/>
              </w:rPr>
              <w:t>，仍有进一步提升空间，扣0.5分。</w:t>
            </w:r>
          </w:p>
        </w:tc>
      </w:tr>
      <w:tr w14:paraId="6A5D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1441" w:type="dxa"/>
            <w:vMerge w:val="continue"/>
            <w:vAlign w:val="center"/>
          </w:tcPr>
          <w:p w14:paraId="3101083B">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3BB983FC">
            <w:pPr>
              <w:spacing w:line="320" w:lineRule="exact"/>
              <w:jc w:val="left"/>
              <w:rPr>
                <w:rFonts w:hint="eastAsia" w:ascii="宋体" w:hAnsi="宋体" w:eastAsia="宋体" w:cs="宋体"/>
                <w:color w:val="auto"/>
                <w:kern w:val="0"/>
                <w:sz w:val="24"/>
                <w:highlight w:val="none"/>
              </w:rPr>
            </w:pPr>
          </w:p>
        </w:tc>
        <w:tc>
          <w:tcPr>
            <w:tcW w:w="1311" w:type="dxa"/>
            <w:vAlign w:val="center"/>
          </w:tcPr>
          <w:p w14:paraId="7F3C7D9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A42预算编制与重点工作任务的匹配性</w:t>
            </w:r>
          </w:p>
        </w:tc>
        <w:tc>
          <w:tcPr>
            <w:tcW w:w="700" w:type="dxa"/>
            <w:vAlign w:val="center"/>
          </w:tcPr>
          <w:p w14:paraId="37972BE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0AC9089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匹配</w:t>
            </w:r>
          </w:p>
        </w:tc>
        <w:tc>
          <w:tcPr>
            <w:tcW w:w="2675" w:type="dxa"/>
            <w:vAlign w:val="center"/>
          </w:tcPr>
          <w:p w14:paraId="1160BBA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预算编制与重点工作是否相匹配</w:t>
            </w:r>
          </w:p>
        </w:tc>
        <w:tc>
          <w:tcPr>
            <w:tcW w:w="2737" w:type="dxa"/>
            <w:vAlign w:val="center"/>
          </w:tcPr>
          <w:p w14:paraId="34DEF22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预算编制与重点工作任务相匹配得满分，否则不得分。</w:t>
            </w:r>
          </w:p>
        </w:tc>
        <w:tc>
          <w:tcPr>
            <w:tcW w:w="953" w:type="dxa"/>
            <w:noWrap/>
            <w:vAlign w:val="center"/>
          </w:tcPr>
          <w:p w14:paraId="23B4A294">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4603443F">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预算编制与重点工作任务相匹配。</w:t>
            </w:r>
          </w:p>
        </w:tc>
      </w:tr>
      <w:tr w14:paraId="48A7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441" w:type="dxa"/>
            <w:vMerge w:val="restart"/>
            <w:vAlign w:val="center"/>
          </w:tcPr>
          <w:p w14:paraId="71EE680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B部门管理（20分）</w:t>
            </w:r>
          </w:p>
        </w:tc>
        <w:tc>
          <w:tcPr>
            <w:tcW w:w="1215" w:type="dxa"/>
            <w:vMerge w:val="restart"/>
            <w:vAlign w:val="center"/>
          </w:tcPr>
          <w:p w14:paraId="4C33999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B1预算执行（6分）</w:t>
            </w:r>
          </w:p>
        </w:tc>
        <w:tc>
          <w:tcPr>
            <w:tcW w:w="1311" w:type="dxa"/>
            <w:vMerge w:val="restart"/>
            <w:vAlign w:val="center"/>
          </w:tcPr>
          <w:p w14:paraId="76295F0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B11部门预算执行率</w:t>
            </w:r>
          </w:p>
        </w:tc>
        <w:tc>
          <w:tcPr>
            <w:tcW w:w="700" w:type="dxa"/>
            <w:vMerge w:val="restart"/>
            <w:vAlign w:val="center"/>
          </w:tcPr>
          <w:p w14:paraId="67CB555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Merge w:val="restart"/>
            <w:vAlign w:val="center"/>
          </w:tcPr>
          <w:p w14:paraId="72F0594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100%</w:t>
            </w:r>
          </w:p>
        </w:tc>
        <w:tc>
          <w:tcPr>
            <w:tcW w:w="2675" w:type="dxa"/>
            <w:vMerge w:val="restart"/>
            <w:vAlign w:val="center"/>
          </w:tcPr>
          <w:p w14:paraId="366ABC6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部门预算执行率是否按照预算执行，用以反映或考核项目预算执行情况</w:t>
            </w:r>
          </w:p>
        </w:tc>
        <w:tc>
          <w:tcPr>
            <w:tcW w:w="2737" w:type="dxa"/>
            <w:vMerge w:val="restart"/>
            <w:vAlign w:val="center"/>
          </w:tcPr>
          <w:p w14:paraId="0B3F88D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预算执行率=（实际支出资金/预算</w:t>
            </w:r>
            <w:r>
              <w:rPr>
                <w:rFonts w:hint="eastAsia" w:ascii="宋体" w:hAnsi="宋体" w:cs="宋体"/>
                <w:color w:val="auto"/>
                <w:kern w:val="0"/>
                <w:sz w:val="24"/>
                <w:highlight w:val="none"/>
                <w:lang w:eastAsia="zh-CN"/>
              </w:rPr>
              <w:t>资金</w:t>
            </w:r>
            <w:r>
              <w:rPr>
                <w:rFonts w:hint="eastAsia" w:ascii="宋体" w:hAnsi="宋体" w:eastAsia="宋体" w:cs="宋体"/>
                <w:color w:val="auto"/>
                <w:kern w:val="0"/>
                <w:sz w:val="24"/>
                <w:highlight w:val="none"/>
              </w:rPr>
              <w:t>）×100%。实际支出资金：一定时期（本年度或项目期）内项目实际拨付的资金。预算执行率100%得满分；预算执行率每降低1%，扣权重分的2.5%，扣完为止。</w:t>
            </w:r>
          </w:p>
        </w:tc>
        <w:tc>
          <w:tcPr>
            <w:tcW w:w="953" w:type="dxa"/>
            <w:vMerge w:val="restart"/>
            <w:noWrap/>
            <w:vAlign w:val="center"/>
          </w:tcPr>
          <w:p w14:paraId="356B65E5">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Merge w:val="restart"/>
            <w:vAlign w:val="center"/>
          </w:tcPr>
          <w:p w14:paraId="4A25A898">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项目支出与项目调整预算数相比的预算执行率为100%。</w:t>
            </w:r>
          </w:p>
        </w:tc>
      </w:tr>
      <w:tr w14:paraId="7A13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441" w:type="dxa"/>
            <w:vMerge w:val="continue"/>
            <w:vAlign w:val="center"/>
          </w:tcPr>
          <w:p w14:paraId="01F2FA1B">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FE38EEB">
            <w:pPr>
              <w:spacing w:line="320" w:lineRule="exact"/>
              <w:jc w:val="left"/>
              <w:rPr>
                <w:rFonts w:hint="eastAsia" w:ascii="宋体" w:hAnsi="宋体" w:eastAsia="宋体" w:cs="宋体"/>
                <w:color w:val="auto"/>
                <w:kern w:val="0"/>
                <w:sz w:val="24"/>
                <w:highlight w:val="none"/>
              </w:rPr>
            </w:pPr>
          </w:p>
        </w:tc>
        <w:tc>
          <w:tcPr>
            <w:tcW w:w="1311" w:type="dxa"/>
            <w:vMerge w:val="continue"/>
            <w:vAlign w:val="center"/>
          </w:tcPr>
          <w:p w14:paraId="439F14F5">
            <w:pPr>
              <w:spacing w:line="320" w:lineRule="exact"/>
              <w:jc w:val="left"/>
              <w:rPr>
                <w:rFonts w:hint="eastAsia" w:ascii="宋体" w:hAnsi="宋体" w:eastAsia="宋体" w:cs="宋体"/>
                <w:color w:val="auto"/>
                <w:kern w:val="0"/>
                <w:sz w:val="24"/>
                <w:highlight w:val="none"/>
              </w:rPr>
            </w:pPr>
          </w:p>
        </w:tc>
        <w:tc>
          <w:tcPr>
            <w:tcW w:w="700" w:type="dxa"/>
            <w:vMerge w:val="continue"/>
            <w:vAlign w:val="center"/>
          </w:tcPr>
          <w:p w14:paraId="7E45B90D">
            <w:pPr>
              <w:spacing w:line="320" w:lineRule="exact"/>
              <w:jc w:val="left"/>
              <w:rPr>
                <w:rFonts w:hint="eastAsia" w:ascii="宋体" w:hAnsi="宋体" w:eastAsia="宋体" w:cs="宋体"/>
                <w:color w:val="auto"/>
                <w:kern w:val="0"/>
                <w:sz w:val="24"/>
                <w:highlight w:val="none"/>
              </w:rPr>
            </w:pPr>
          </w:p>
        </w:tc>
        <w:tc>
          <w:tcPr>
            <w:tcW w:w="999" w:type="dxa"/>
            <w:vMerge w:val="continue"/>
            <w:vAlign w:val="center"/>
          </w:tcPr>
          <w:p w14:paraId="2A76151C">
            <w:pPr>
              <w:spacing w:line="320" w:lineRule="exact"/>
              <w:jc w:val="left"/>
              <w:rPr>
                <w:rFonts w:hint="eastAsia" w:ascii="宋体" w:hAnsi="宋体" w:eastAsia="宋体" w:cs="宋体"/>
                <w:color w:val="auto"/>
                <w:kern w:val="0"/>
                <w:sz w:val="24"/>
                <w:highlight w:val="none"/>
              </w:rPr>
            </w:pPr>
          </w:p>
        </w:tc>
        <w:tc>
          <w:tcPr>
            <w:tcW w:w="2675" w:type="dxa"/>
            <w:vMerge w:val="continue"/>
            <w:vAlign w:val="center"/>
          </w:tcPr>
          <w:p w14:paraId="5F65973B">
            <w:pPr>
              <w:spacing w:line="320" w:lineRule="exact"/>
              <w:jc w:val="left"/>
              <w:rPr>
                <w:rFonts w:hint="eastAsia" w:ascii="宋体" w:hAnsi="宋体" w:eastAsia="宋体" w:cs="宋体"/>
                <w:color w:val="auto"/>
                <w:kern w:val="0"/>
                <w:sz w:val="24"/>
                <w:highlight w:val="none"/>
              </w:rPr>
            </w:pPr>
          </w:p>
        </w:tc>
        <w:tc>
          <w:tcPr>
            <w:tcW w:w="2737" w:type="dxa"/>
            <w:vMerge w:val="continue"/>
            <w:vAlign w:val="center"/>
          </w:tcPr>
          <w:p w14:paraId="384F8EAE">
            <w:pPr>
              <w:spacing w:line="320" w:lineRule="exact"/>
              <w:jc w:val="left"/>
              <w:rPr>
                <w:rFonts w:hint="eastAsia" w:ascii="宋体" w:hAnsi="宋体" w:eastAsia="宋体" w:cs="宋体"/>
                <w:color w:val="auto"/>
                <w:kern w:val="0"/>
                <w:sz w:val="24"/>
                <w:highlight w:val="none"/>
              </w:rPr>
            </w:pPr>
          </w:p>
        </w:tc>
        <w:tc>
          <w:tcPr>
            <w:tcW w:w="953" w:type="dxa"/>
            <w:vMerge w:val="continue"/>
            <w:vAlign w:val="center"/>
          </w:tcPr>
          <w:p w14:paraId="474580C3">
            <w:pPr>
              <w:spacing w:line="320" w:lineRule="exact"/>
              <w:jc w:val="center"/>
              <w:rPr>
                <w:rFonts w:hint="eastAsia" w:ascii="宋体" w:hAnsi="宋体" w:eastAsia="宋体" w:cs="宋体"/>
                <w:color w:val="auto"/>
                <w:kern w:val="0"/>
                <w:sz w:val="24"/>
                <w:highlight w:val="none"/>
              </w:rPr>
            </w:pPr>
          </w:p>
        </w:tc>
        <w:tc>
          <w:tcPr>
            <w:tcW w:w="2089" w:type="dxa"/>
            <w:vMerge w:val="continue"/>
            <w:vAlign w:val="center"/>
          </w:tcPr>
          <w:p w14:paraId="05880CBC">
            <w:pPr>
              <w:spacing w:line="320" w:lineRule="exact"/>
              <w:jc w:val="both"/>
              <w:rPr>
                <w:rFonts w:hint="eastAsia" w:ascii="宋体" w:hAnsi="宋体" w:eastAsia="宋体" w:cs="宋体"/>
                <w:color w:val="auto"/>
                <w:kern w:val="0"/>
                <w:sz w:val="24"/>
                <w:highlight w:val="none"/>
              </w:rPr>
            </w:pPr>
          </w:p>
        </w:tc>
      </w:tr>
      <w:tr w14:paraId="3479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441" w:type="dxa"/>
            <w:vMerge w:val="continue"/>
            <w:vAlign w:val="center"/>
          </w:tcPr>
          <w:p w14:paraId="31373364">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425C5B31">
            <w:pPr>
              <w:spacing w:line="320" w:lineRule="exact"/>
              <w:jc w:val="left"/>
              <w:rPr>
                <w:rFonts w:hint="eastAsia" w:ascii="宋体" w:hAnsi="宋体" w:eastAsia="宋体" w:cs="宋体"/>
                <w:color w:val="auto"/>
                <w:kern w:val="0"/>
                <w:sz w:val="24"/>
                <w:highlight w:val="none"/>
              </w:rPr>
            </w:pPr>
          </w:p>
        </w:tc>
        <w:tc>
          <w:tcPr>
            <w:tcW w:w="1311" w:type="dxa"/>
            <w:vMerge w:val="continue"/>
            <w:vAlign w:val="center"/>
          </w:tcPr>
          <w:p w14:paraId="20B93DA2">
            <w:pPr>
              <w:spacing w:line="320" w:lineRule="exact"/>
              <w:jc w:val="left"/>
              <w:rPr>
                <w:rFonts w:hint="eastAsia" w:ascii="宋体" w:hAnsi="宋体" w:eastAsia="宋体" w:cs="宋体"/>
                <w:color w:val="auto"/>
                <w:kern w:val="0"/>
                <w:sz w:val="24"/>
                <w:highlight w:val="none"/>
              </w:rPr>
            </w:pPr>
          </w:p>
        </w:tc>
        <w:tc>
          <w:tcPr>
            <w:tcW w:w="700" w:type="dxa"/>
            <w:vMerge w:val="continue"/>
            <w:vAlign w:val="center"/>
          </w:tcPr>
          <w:p w14:paraId="38678D83">
            <w:pPr>
              <w:spacing w:line="320" w:lineRule="exact"/>
              <w:jc w:val="left"/>
              <w:rPr>
                <w:rFonts w:hint="eastAsia" w:ascii="宋体" w:hAnsi="宋体" w:eastAsia="宋体" w:cs="宋体"/>
                <w:color w:val="auto"/>
                <w:kern w:val="0"/>
                <w:sz w:val="24"/>
                <w:highlight w:val="none"/>
              </w:rPr>
            </w:pPr>
          </w:p>
        </w:tc>
        <w:tc>
          <w:tcPr>
            <w:tcW w:w="999" w:type="dxa"/>
            <w:vMerge w:val="continue"/>
            <w:vAlign w:val="center"/>
          </w:tcPr>
          <w:p w14:paraId="070103CC">
            <w:pPr>
              <w:spacing w:line="320" w:lineRule="exact"/>
              <w:jc w:val="left"/>
              <w:rPr>
                <w:rFonts w:hint="eastAsia" w:ascii="宋体" w:hAnsi="宋体" w:eastAsia="宋体" w:cs="宋体"/>
                <w:color w:val="auto"/>
                <w:kern w:val="0"/>
                <w:sz w:val="24"/>
                <w:highlight w:val="none"/>
              </w:rPr>
            </w:pPr>
          </w:p>
        </w:tc>
        <w:tc>
          <w:tcPr>
            <w:tcW w:w="2675" w:type="dxa"/>
            <w:vMerge w:val="continue"/>
            <w:vAlign w:val="center"/>
          </w:tcPr>
          <w:p w14:paraId="7C27C786">
            <w:pPr>
              <w:spacing w:line="320" w:lineRule="exact"/>
              <w:jc w:val="left"/>
              <w:rPr>
                <w:rFonts w:hint="eastAsia" w:ascii="宋体" w:hAnsi="宋体" w:eastAsia="宋体" w:cs="宋体"/>
                <w:color w:val="auto"/>
                <w:kern w:val="0"/>
                <w:sz w:val="24"/>
                <w:highlight w:val="none"/>
              </w:rPr>
            </w:pPr>
          </w:p>
        </w:tc>
        <w:tc>
          <w:tcPr>
            <w:tcW w:w="2737" w:type="dxa"/>
            <w:vMerge w:val="continue"/>
            <w:vAlign w:val="center"/>
          </w:tcPr>
          <w:p w14:paraId="3A9564F9">
            <w:pPr>
              <w:spacing w:line="320" w:lineRule="exact"/>
              <w:jc w:val="left"/>
              <w:rPr>
                <w:rFonts w:hint="eastAsia" w:ascii="宋体" w:hAnsi="宋体" w:eastAsia="宋体" w:cs="宋体"/>
                <w:color w:val="auto"/>
                <w:kern w:val="0"/>
                <w:sz w:val="24"/>
                <w:highlight w:val="none"/>
              </w:rPr>
            </w:pPr>
          </w:p>
        </w:tc>
        <w:tc>
          <w:tcPr>
            <w:tcW w:w="953" w:type="dxa"/>
            <w:vMerge w:val="continue"/>
            <w:vAlign w:val="center"/>
          </w:tcPr>
          <w:p w14:paraId="37672872">
            <w:pPr>
              <w:spacing w:line="320" w:lineRule="exact"/>
              <w:jc w:val="center"/>
              <w:rPr>
                <w:rFonts w:hint="eastAsia" w:ascii="宋体" w:hAnsi="宋体" w:eastAsia="宋体" w:cs="宋体"/>
                <w:color w:val="auto"/>
                <w:kern w:val="0"/>
                <w:sz w:val="24"/>
                <w:highlight w:val="none"/>
              </w:rPr>
            </w:pPr>
          </w:p>
        </w:tc>
        <w:tc>
          <w:tcPr>
            <w:tcW w:w="2089" w:type="dxa"/>
            <w:vMerge w:val="continue"/>
            <w:vAlign w:val="center"/>
          </w:tcPr>
          <w:p w14:paraId="01C29BD8">
            <w:pPr>
              <w:spacing w:line="320" w:lineRule="exact"/>
              <w:jc w:val="both"/>
              <w:rPr>
                <w:rFonts w:hint="eastAsia" w:ascii="宋体" w:hAnsi="宋体" w:eastAsia="宋体" w:cs="宋体"/>
                <w:color w:val="auto"/>
                <w:kern w:val="0"/>
                <w:sz w:val="24"/>
                <w:highlight w:val="none"/>
              </w:rPr>
            </w:pPr>
          </w:p>
        </w:tc>
      </w:tr>
      <w:tr w14:paraId="492D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1441" w:type="dxa"/>
            <w:vMerge w:val="continue"/>
            <w:vAlign w:val="center"/>
          </w:tcPr>
          <w:p w14:paraId="7B5EEAEA">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226574F">
            <w:pPr>
              <w:spacing w:line="320" w:lineRule="exact"/>
              <w:jc w:val="left"/>
              <w:rPr>
                <w:rFonts w:hint="eastAsia" w:ascii="宋体" w:hAnsi="宋体" w:eastAsia="宋体" w:cs="宋体"/>
                <w:color w:val="auto"/>
                <w:kern w:val="0"/>
                <w:sz w:val="24"/>
                <w:highlight w:val="none"/>
              </w:rPr>
            </w:pPr>
          </w:p>
        </w:tc>
        <w:tc>
          <w:tcPr>
            <w:tcW w:w="1311" w:type="dxa"/>
            <w:vAlign w:val="center"/>
          </w:tcPr>
          <w:p w14:paraId="056ADBD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B12专项资金执行率</w:t>
            </w:r>
          </w:p>
        </w:tc>
        <w:tc>
          <w:tcPr>
            <w:tcW w:w="700" w:type="dxa"/>
            <w:vAlign w:val="center"/>
          </w:tcPr>
          <w:p w14:paraId="3A07379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1DE3CE5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100%</w:t>
            </w:r>
          </w:p>
        </w:tc>
        <w:tc>
          <w:tcPr>
            <w:tcW w:w="2675" w:type="dxa"/>
            <w:vAlign w:val="center"/>
          </w:tcPr>
          <w:p w14:paraId="2F4999B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考核部门专项资金的使用情况</w:t>
            </w:r>
          </w:p>
        </w:tc>
        <w:tc>
          <w:tcPr>
            <w:tcW w:w="2737" w:type="dxa"/>
            <w:vAlign w:val="center"/>
          </w:tcPr>
          <w:p w14:paraId="6808E20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专项资金执行率100%得满分，每降低1%，扣权重分的2.5%，扣完为止。</w:t>
            </w:r>
          </w:p>
        </w:tc>
        <w:tc>
          <w:tcPr>
            <w:tcW w:w="953" w:type="dxa"/>
            <w:noWrap/>
            <w:vAlign w:val="center"/>
          </w:tcPr>
          <w:p w14:paraId="550C878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75BB5CF3">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专项资金支出与专项资金调整预算数相比的预算执行率为100%。</w:t>
            </w:r>
          </w:p>
        </w:tc>
      </w:tr>
      <w:tr w14:paraId="76D5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01648F52">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2B3D146">
            <w:pPr>
              <w:spacing w:line="320" w:lineRule="exact"/>
              <w:jc w:val="left"/>
              <w:rPr>
                <w:rFonts w:hint="eastAsia" w:ascii="宋体" w:hAnsi="宋体" w:eastAsia="宋体" w:cs="宋体"/>
                <w:color w:val="auto"/>
                <w:kern w:val="0"/>
                <w:sz w:val="24"/>
                <w:highlight w:val="none"/>
              </w:rPr>
            </w:pPr>
          </w:p>
        </w:tc>
        <w:tc>
          <w:tcPr>
            <w:tcW w:w="1311" w:type="dxa"/>
            <w:vAlign w:val="center"/>
          </w:tcPr>
          <w:p w14:paraId="2509D4A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B13“三公”经费控制率</w:t>
            </w:r>
          </w:p>
        </w:tc>
        <w:tc>
          <w:tcPr>
            <w:tcW w:w="700" w:type="dxa"/>
            <w:vAlign w:val="center"/>
          </w:tcPr>
          <w:p w14:paraId="299ACF5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21F1398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100%</w:t>
            </w:r>
          </w:p>
        </w:tc>
        <w:tc>
          <w:tcPr>
            <w:tcW w:w="2675" w:type="dxa"/>
            <w:vAlign w:val="center"/>
          </w:tcPr>
          <w:p w14:paraId="524AEDC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部门年度</w:t>
            </w:r>
            <w:r>
              <w:rPr>
                <w:rFonts w:hint="eastAsia" w:ascii="宋体" w:hAnsi="宋体" w:cs="宋体"/>
                <w:color w:val="auto"/>
                <w:kern w:val="0"/>
                <w:sz w:val="24"/>
                <w:highlight w:val="none"/>
                <w:lang w:eastAsia="zh-CN"/>
              </w:rPr>
              <w:t>“三公”经费</w:t>
            </w:r>
            <w:r>
              <w:rPr>
                <w:rFonts w:hint="eastAsia" w:ascii="宋体" w:hAnsi="宋体" w:eastAsia="宋体" w:cs="宋体"/>
                <w:color w:val="auto"/>
                <w:kern w:val="0"/>
                <w:sz w:val="24"/>
                <w:highlight w:val="none"/>
              </w:rPr>
              <w:t>实际支出数与预算安排数的比率，反映和考核部门对</w:t>
            </w:r>
            <w:r>
              <w:rPr>
                <w:rFonts w:hint="eastAsia" w:ascii="宋体" w:hAnsi="宋体" w:cs="宋体"/>
                <w:color w:val="auto"/>
                <w:kern w:val="0"/>
                <w:sz w:val="24"/>
                <w:highlight w:val="none"/>
                <w:lang w:eastAsia="zh-CN"/>
              </w:rPr>
              <w:t>“三公”经费</w:t>
            </w:r>
            <w:r>
              <w:rPr>
                <w:rFonts w:hint="eastAsia" w:ascii="宋体" w:hAnsi="宋体" w:eastAsia="宋体" w:cs="宋体"/>
                <w:color w:val="auto"/>
                <w:kern w:val="0"/>
                <w:sz w:val="24"/>
                <w:highlight w:val="none"/>
              </w:rPr>
              <w:t>的实际控制程度</w:t>
            </w:r>
          </w:p>
        </w:tc>
        <w:tc>
          <w:tcPr>
            <w:tcW w:w="2737" w:type="dxa"/>
            <w:vAlign w:val="center"/>
          </w:tcPr>
          <w:p w14:paraId="1B2AD6F4">
            <w:pPr>
              <w:spacing w:line="320" w:lineRule="exact"/>
              <w:jc w:val="left"/>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“三公”经费</w:t>
            </w:r>
            <w:r>
              <w:rPr>
                <w:rFonts w:hint="eastAsia" w:ascii="宋体" w:hAnsi="宋体" w:eastAsia="宋体" w:cs="宋体"/>
                <w:color w:val="auto"/>
                <w:kern w:val="0"/>
                <w:sz w:val="24"/>
                <w:highlight w:val="none"/>
              </w:rPr>
              <w:t>控制率=（</w:t>
            </w:r>
            <w:r>
              <w:rPr>
                <w:rFonts w:hint="eastAsia" w:ascii="宋体" w:hAnsi="宋体" w:cs="宋体"/>
                <w:color w:val="auto"/>
                <w:kern w:val="0"/>
                <w:sz w:val="24"/>
                <w:highlight w:val="none"/>
                <w:lang w:eastAsia="zh-CN"/>
              </w:rPr>
              <w:t>“三公”经费</w:t>
            </w:r>
            <w:r>
              <w:rPr>
                <w:rFonts w:hint="eastAsia" w:ascii="宋体" w:hAnsi="宋体" w:eastAsia="宋体" w:cs="宋体"/>
                <w:color w:val="auto"/>
                <w:kern w:val="0"/>
                <w:sz w:val="24"/>
                <w:highlight w:val="none"/>
              </w:rPr>
              <w:t>实际支出数/</w:t>
            </w:r>
            <w:r>
              <w:rPr>
                <w:rFonts w:hint="eastAsia" w:ascii="宋体" w:hAnsi="宋体" w:cs="宋体"/>
                <w:color w:val="auto"/>
                <w:kern w:val="0"/>
                <w:sz w:val="24"/>
                <w:highlight w:val="none"/>
                <w:lang w:eastAsia="zh-CN"/>
              </w:rPr>
              <w:t>“三公”经费预算</w:t>
            </w:r>
            <w:r>
              <w:rPr>
                <w:rFonts w:hint="eastAsia" w:ascii="宋体" w:hAnsi="宋体" w:eastAsia="宋体" w:cs="宋体"/>
                <w:color w:val="auto"/>
                <w:kern w:val="0"/>
                <w:sz w:val="24"/>
                <w:highlight w:val="none"/>
              </w:rPr>
              <w:t>安排数）*100%。</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三公”经费使用超支扣分，若不超支则不扣分。</w:t>
            </w:r>
          </w:p>
        </w:tc>
        <w:tc>
          <w:tcPr>
            <w:tcW w:w="953" w:type="dxa"/>
            <w:noWrap/>
            <w:vAlign w:val="center"/>
          </w:tcPr>
          <w:p w14:paraId="05BC9A6B">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6CA0E569">
            <w:pPr>
              <w:spacing w:line="320" w:lineRule="exact"/>
              <w:jc w:val="both"/>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三公</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经费未超支。</w:t>
            </w:r>
          </w:p>
        </w:tc>
      </w:tr>
      <w:tr w14:paraId="6035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441" w:type="dxa"/>
            <w:vMerge w:val="continue"/>
            <w:vAlign w:val="center"/>
          </w:tcPr>
          <w:p w14:paraId="45F6F36D">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225D5964">
            <w:pPr>
              <w:spacing w:line="320" w:lineRule="exact"/>
              <w:jc w:val="left"/>
              <w:rPr>
                <w:rFonts w:hint="eastAsia" w:ascii="宋体" w:hAnsi="宋体" w:eastAsia="宋体" w:cs="宋体"/>
                <w:color w:val="auto"/>
                <w:kern w:val="0"/>
                <w:sz w:val="24"/>
                <w:highlight w:val="none"/>
              </w:rPr>
            </w:pPr>
          </w:p>
        </w:tc>
        <w:tc>
          <w:tcPr>
            <w:tcW w:w="1311" w:type="dxa"/>
            <w:vAlign w:val="center"/>
          </w:tcPr>
          <w:p w14:paraId="6C209FE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B14预决算信息公开情况</w:t>
            </w:r>
          </w:p>
        </w:tc>
        <w:tc>
          <w:tcPr>
            <w:tcW w:w="700" w:type="dxa"/>
            <w:vAlign w:val="center"/>
          </w:tcPr>
          <w:p w14:paraId="4D80466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0E19A8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公开</w:t>
            </w:r>
          </w:p>
        </w:tc>
        <w:tc>
          <w:tcPr>
            <w:tcW w:w="2675" w:type="dxa"/>
            <w:vAlign w:val="center"/>
          </w:tcPr>
          <w:p w14:paraId="7D1C51C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考核预决算是否在“双平台”进行公开，内容和时限是否符合要求（提供截图或者照片进行佐证）</w:t>
            </w:r>
          </w:p>
        </w:tc>
        <w:tc>
          <w:tcPr>
            <w:tcW w:w="2737" w:type="dxa"/>
            <w:vAlign w:val="center"/>
          </w:tcPr>
          <w:p w14:paraId="352FC1E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预决算信息及时公开得满分，否则不得分。</w:t>
            </w:r>
          </w:p>
        </w:tc>
        <w:tc>
          <w:tcPr>
            <w:tcW w:w="953" w:type="dxa"/>
            <w:noWrap/>
            <w:vAlign w:val="center"/>
          </w:tcPr>
          <w:p w14:paraId="56D5270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710A3063">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根据财政局规定，通过预算一体化系统</w:t>
            </w:r>
            <w:r>
              <w:rPr>
                <w:rFonts w:hint="eastAsia" w:ascii="宋体" w:hAnsi="宋体" w:cs="宋体"/>
                <w:color w:val="auto"/>
                <w:kern w:val="0"/>
                <w:sz w:val="24"/>
                <w:highlight w:val="none"/>
                <w:lang w:eastAsia="zh-CN"/>
              </w:rPr>
              <w:t>填报发布，同时预算绩效目标及决算绩效自评价内容在主管局</w:t>
            </w:r>
            <w:r>
              <w:rPr>
                <w:rFonts w:hint="eastAsia" w:ascii="宋体" w:hAnsi="宋体" w:eastAsia="宋体" w:cs="宋体"/>
                <w:color w:val="auto"/>
                <w:kern w:val="0"/>
                <w:sz w:val="24"/>
                <w:highlight w:val="none"/>
              </w:rPr>
              <w:t>官网公开。</w:t>
            </w:r>
          </w:p>
        </w:tc>
      </w:tr>
      <w:tr w14:paraId="45CF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441" w:type="dxa"/>
            <w:vMerge w:val="continue"/>
            <w:vAlign w:val="center"/>
          </w:tcPr>
          <w:p w14:paraId="29683C22">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7DE01AC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B2收支管理（2分）</w:t>
            </w:r>
          </w:p>
        </w:tc>
        <w:tc>
          <w:tcPr>
            <w:tcW w:w="1311" w:type="dxa"/>
            <w:vAlign w:val="center"/>
          </w:tcPr>
          <w:p w14:paraId="34B7ACD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B21收支管理制度健全性</w:t>
            </w:r>
          </w:p>
        </w:tc>
        <w:tc>
          <w:tcPr>
            <w:tcW w:w="700" w:type="dxa"/>
            <w:vAlign w:val="center"/>
          </w:tcPr>
          <w:p w14:paraId="1832125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5A3B500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健全</w:t>
            </w:r>
          </w:p>
        </w:tc>
        <w:tc>
          <w:tcPr>
            <w:tcW w:w="2675" w:type="dxa"/>
            <w:vAlign w:val="center"/>
          </w:tcPr>
          <w:p w14:paraId="2C5C0B7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考核收支管理制度的健全性</w:t>
            </w:r>
          </w:p>
        </w:tc>
        <w:tc>
          <w:tcPr>
            <w:tcW w:w="2737" w:type="dxa"/>
            <w:vAlign w:val="center"/>
          </w:tcPr>
          <w:p w14:paraId="6691CF6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收支管理制度健全得满分，否则不得分</w:t>
            </w:r>
          </w:p>
        </w:tc>
        <w:tc>
          <w:tcPr>
            <w:tcW w:w="953" w:type="dxa"/>
            <w:noWrap/>
            <w:vAlign w:val="center"/>
          </w:tcPr>
          <w:p w14:paraId="39A87124">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1777DD1F">
            <w:pPr>
              <w:spacing w:line="320" w:lineRule="exact"/>
              <w:jc w:val="both"/>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幼儿园</w:t>
            </w:r>
            <w:r>
              <w:rPr>
                <w:rFonts w:hint="eastAsia" w:ascii="宋体" w:hAnsi="宋体" w:eastAsia="宋体" w:cs="宋体"/>
                <w:color w:val="auto"/>
                <w:kern w:val="0"/>
                <w:sz w:val="24"/>
                <w:highlight w:val="none"/>
              </w:rPr>
              <w:t>收支管理制度健全。</w:t>
            </w:r>
          </w:p>
        </w:tc>
      </w:tr>
      <w:tr w14:paraId="0A91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trPr>
        <w:tc>
          <w:tcPr>
            <w:tcW w:w="1441" w:type="dxa"/>
            <w:vMerge w:val="continue"/>
            <w:vAlign w:val="center"/>
          </w:tcPr>
          <w:p w14:paraId="027C36D5">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11FECA45">
            <w:pPr>
              <w:spacing w:line="320" w:lineRule="exact"/>
              <w:jc w:val="left"/>
              <w:rPr>
                <w:rFonts w:hint="eastAsia" w:ascii="宋体" w:hAnsi="宋体" w:eastAsia="宋体" w:cs="宋体"/>
                <w:color w:val="auto"/>
                <w:kern w:val="0"/>
                <w:sz w:val="24"/>
                <w:highlight w:val="none"/>
              </w:rPr>
            </w:pPr>
          </w:p>
        </w:tc>
        <w:tc>
          <w:tcPr>
            <w:tcW w:w="1311" w:type="dxa"/>
            <w:vAlign w:val="center"/>
          </w:tcPr>
          <w:p w14:paraId="60E088D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B22收支管理是否按制度执行</w:t>
            </w:r>
          </w:p>
        </w:tc>
        <w:tc>
          <w:tcPr>
            <w:tcW w:w="700" w:type="dxa"/>
            <w:vAlign w:val="center"/>
          </w:tcPr>
          <w:p w14:paraId="0219D60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4352876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执行</w:t>
            </w:r>
          </w:p>
        </w:tc>
        <w:tc>
          <w:tcPr>
            <w:tcW w:w="2675" w:type="dxa"/>
            <w:vAlign w:val="center"/>
          </w:tcPr>
          <w:p w14:paraId="64CD895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考核收支管理是否按制度执行</w:t>
            </w:r>
          </w:p>
        </w:tc>
        <w:tc>
          <w:tcPr>
            <w:tcW w:w="2737" w:type="dxa"/>
            <w:vAlign w:val="center"/>
          </w:tcPr>
          <w:p w14:paraId="221E210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收支管理按制度执行得满分，否则不得分</w:t>
            </w:r>
          </w:p>
        </w:tc>
        <w:tc>
          <w:tcPr>
            <w:tcW w:w="953" w:type="dxa"/>
            <w:noWrap/>
            <w:vAlign w:val="center"/>
          </w:tcPr>
          <w:p w14:paraId="37711E2C">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099D50D0">
            <w:pPr>
              <w:spacing w:line="320" w:lineRule="exact"/>
              <w:jc w:val="both"/>
              <w:rPr>
                <w:rFonts w:hint="eastAsia" w:ascii="宋体" w:hAnsi="宋体" w:eastAsia="宋体" w:cs="宋体"/>
                <w:color w:val="auto"/>
                <w:highlight w:val="none"/>
                <w:lang w:eastAsia="zh-CN"/>
              </w:rPr>
            </w:pPr>
            <w:r>
              <w:rPr>
                <w:rFonts w:hint="eastAsia" w:ascii="宋体" w:hAnsi="宋体" w:eastAsia="宋体" w:cs="宋体"/>
                <w:color w:val="auto"/>
                <w:kern w:val="0"/>
                <w:sz w:val="24"/>
                <w:highlight w:val="none"/>
              </w:rPr>
              <w:t>收支活动符合国家有关法律法规、财经纪律及相关政策要求，依据《政府会计制度》、</w:t>
            </w:r>
            <w:r>
              <w:rPr>
                <w:rFonts w:hint="eastAsia" w:ascii="宋体" w:hAnsi="宋体" w:cs="宋体"/>
                <w:color w:val="auto"/>
                <w:kern w:val="0"/>
                <w:sz w:val="24"/>
                <w:highlight w:val="none"/>
                <w:lang w:eastAsia="zh-CN"/>
              </w:rPr>
              <w:t>幼儿园收支管理制度进行收支管理。</w:t>
            </w:r>
          </w:p>
        </w:tc>
      </w:tr>
      <w:tr w14:paraId="29F8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2BDB461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B部门管理（20分）</w:t>
            </w:r>
          </w:p>
        </w:tc>
        <w:tc>
          <w:tcPr>
            <w:tcW w:w="1215" w:type="dxa"/>
            <w:vMerge w:val="restart"/>
            <w:vAlign w:val="center"/>
          </w:tcPr>
          <w:p w14:paraId="47CC603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B3资产管理（2分）</w:t>
            </w:r>
          </w:p>
        </w:tc>
        <w:tc>
          <w:tcPr>
            <w:tcW w:w="1311" w:type="dxa"/>
            <w:vAlign w:val="center"/>
          </w:tcPr>
          <w:p w14:paraId="3DF8673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B31资产管理制度健全性</w:t>
            </w:r>
          </w:p>
        </w:tc>
        <w:tc>
          <w:tcPr>
            <w:tcW w:w="700" w:type="dxa"/>
            <w:vAlign w:val="center"/>
          </w:tcPr>
          <w:p w14:paraId="4C87A02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2A6F476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健全</w:t>
            </w:r>
          </w:p>
        </w:tc>
        <w:tc>
          <w:tcPr>
            <w:tcW w:w="2675" w:type="dxa"/>
            <w:vAlign w:val="center"/>
          </w:tcPr>
          <w:p w14:paraId="61F2BEB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考核资产管理制度健全性</w:t>
            </w:r>
          </w:p>
        </w:tc>
        <w:tc>
          <w:tcPr>
            <w:tcW w:w="2737" w:type="dxa"/>
            <w:vAlign w:val="center"/>
          </w:tcPr>
          <w:p w14:paraId="75F9DAE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资产管理制度健全得满分，否则不得分。</w:t>
            </w:r>
          </w:p>
        </w:tc>
        <w:tc>
          <w:tcPr>
            <w:tcW w:w="953" w:type="dxa"/>
            <w:noWrap/>
            <w:vAlign w:val="center"/>
          </w:tcPr>
          <w:p w14:paraId="2869C5A0">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1AD0D0CD">
            <w:pPr>
              <w:spacing w:line="320" w:lineRule="exact"/>
              <w:jc w:val="both"/>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资产管理制度健全。</w:t>
            </w:r>
          </w:p>
        </w:tc>
      </w:tr>
      <w:tr w14:paraId="6F74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4E0BA725">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02DF6A1">
            <w:pPr>
              <w:spacing w:line="320" w:lineRule="exact"/>
              <w:jc w:val="left"/>
              <w:rPr>
                <w:rFonts w:hint="eastAsia" w:ascii="宋体" w:hAnsi="宋体" w:eastAsia="宋体" w:cs="宋体"/>
                <w:color w:val="auto"/>
                <w:kern w:val="0"/>
                <w:sz w:val="24"/>
                <w:highlight w:val="none"/>
              </w:rPr>
            </w:pPr>
          </w:p>
        </w:tc>
        <w:tc>
          <w:tcPr>
            <w:tcW w:w="1311" w:type="dxa"/>
            <w:vAlign w:val="center"/>
          </w:tcPr>
          <w:p w14:paraId="64200C5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B32资产管理是否按制度执行</w:t>
            </w:r>
          </w:p>
        </w:tc>
        <w:tc>
          <w:tcPr>
            <w:tcW w:w="700" w:type="dxa"/>
            <w:vAlign w:val="center"/>
          </w:tcPr>
          <w:p w14:paraId="09F8EFA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48DA58A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执行</w:t>
            </w:r>
          </w:p>
        </w:tc>
        <w:tc>
          <w:tcPr>
            <w:tcW w:w="2675" w:type="dxa"/>
            <w:vAlign w:val="center"/>
          </w:tcPr>
          <w:p w14:paraId="7F51FB0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考核资产管理是否按制度执行</w:t>
            </w:r>
          </w:p>
        </w:tc>
        <w:tc>
          <w:tcPr>
            <w:tcW w:w="2737" w:type="dxa"/>
            <w:vAlign w:val="center"/>
          </w:tcPr>
          <w:p w14:paraId="1240BA7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资产管理按制度执行得满分，否则不得分。</w:t>
            </w:r>
          </w:p>
        </w:tc>
        <w:tc>
          <w:tcPr>
            <w:tcW w:w="953" w:type="dxa"/>
            <w:noWrap/>
            <w:vAlign w:val="center"/>
          </w:tcPr>
          <w:p w14:paraId="3DC55B4E">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22DAE38C">
            <w:pPr>
              <w:spacing w:line="320" w:lineRule="exact"/>
              <w:jc w:val="both"/>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按照国有资产信息化管理要求及时登记更新“行政事业单位国有资产管理信息系统”资产使用信息</w:t>
            </w:r>
            <w:r>
              <w:rPr>
                <w:rFonts w:hint="eastAsia" w:ascii="宋体" w:hAnsi="宋体" w:cs="宋体"/>
                <w:color w:val="auto"/>
                <w:kern w:val="0"/>
                <w:sz w:val="24"/>
                <w:highlight w:val="none"/>
                <w:lang w:eastAsia="zh-CN"/>
              </w:rPr>
              <w:t>，并定期开展资产清查工作。</w:t>
            </w:r>
          </w:p>
        </w:tc>
      </w:tr>
      <w:tr w14:paraId="3168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441" w:type="dxa"/>
            <w:vMerge w:val="continue"/>
            <w:vAlign w:val="center"/>
          </w:tcPr>
          <w:p w14:paraId="333D21DF">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1C8ABF9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B4政府采购管理（2分）</w:t>
            </w:r>
          </w:p>
        </w:tc>
        <w:tc>
          <w:tcPr>
            <w:tcW w:w="1311" w:type="dxa"/>
            <w:vAlign w:val="center"/>
          </w:tcPr>
          <w:p w14:paraId="28847F2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B41政府采购管理制度健全性</w:t>
            </w:r>
          </w:p>
        </w:tc>
        <w:tc>
          <w:tcPr>
            <w:tcW w:w="700" w:type="dxa"/>
            <w:vAlign w:val="center"/>
          </w:tcPr>
          <w:p w14:paraId="2F1C1BC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5514FB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健全</w:t>
            </w:r>
          </w:p>
        </w:tc>
        <w:tc>
          <w:tcPr>
            <w:tcW w:w="2675" w:type="dxa"/>
            <w:vAlign w:val="center"/>
          </w:tcPr>
          <w:p w14:paraId="18CB6A6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考核政府采购管理制度是否健全</w:t>
            </w:r>
          </w:p>
        </w:tc>
        <w:tc>
          <w:tcPr>
            <w:tcW w:w="2737" w:type="dxa"/>
            <w:vAlign w:val="center"/>
          </w:tcPr>
          <w:p w14:paraId="020C9F8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政府采购管理制度健全得满分，否则不得分。</w:t>
            </w:r>
          </w:p>
        </w:tc>
        <w:tc>
          <w:tcPr>
            <w:tcW w:w="953" w:type="dxa"/>
            <w:noWrap/>
            <w:vAlign w:val="center"/>
          </w:tcPr>
          <w:p w14:paraId="78C5D30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7FBB075E">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依据政府采购管理</w:t>
            </w:r>
            <w:r>
              <w:rPr>
                <w:rFonts w:hint="eastAsia" w:ascii="宋体" w:hAnsi="宋体" w:cs="宋体"/>
                <w:color w:val="auto"/>
                <w:kern w:val="0"/>
                <w:sz w:val="24"/>
                <w:highlight w:val="none"/>
                <w:lang w:eastAsia="zh-CN"/>
              </w:rPr>
              <w:t>相关要求制定幼儿园采购管理制度</w:t>
            </w:r>
            <w:r>
              <w:rPr>
                <w:rFonts w:hint="eastAsia" w:ascii="宋体" w:hAnsi="宋体" w:eastAsia="宋体" w:cs="宋体"/>
                <w:color w:val="auto"/>
                <w:kern w:val="0"/>
                <w:sz w:val="24"/>
                <w:highlight w:val="none"/>
              </w:rPr>
              <w:t>。</w:t>
            </w:r>
          </w:p>
        </w:tc>
      </w:tr>
      <w:tr w14:paraId="5D2F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441" w:type="dxa"/>
            <w:vMerge w:val="continue"/>
            <w:vAlign w:val="center"/>
          </w:tcPr>
          <w:p w14:paraId="54838330">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595153E">
            <w:pPr>
              <w:spacing w:line="320" w:lineRule="exact"/>
              <w:jc w:val="left"/>
              <w:rPr>
                <w:rFonts w:hint="eastAsia" w:ascii="宋体" w:hAnsi="宋体" w:eastAsia="宋体" w:cs="宋体"/>
                <w:color w:val="auto"/>
                <w:kern w:val="0"/>
                <w:sz w:val="24"/>
                <w:highlight w:val="none"/>
              </w:rPr>
            </w:pPr>
          </w:p>
        </w:tc>
        <w:tc>
          <w:tcPr>
            <w:tcW w:w="1311" w:type="dxa"/>
            <w:vAlign w:val="center"/>
          </w:tcPr>
          <w:p w14:paraId="5D47187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B42政府采购管理是否按制度执行</w:t>
            </w:r>
          </w:p>
        </w:tc>
        <w:tc>
          <w:tcPr>
            <w:tcW w:w="700" w:type="dxa"/>
            <w:vAlign w:val="center"/>
          </w:tcPr>
          <w:p w14:paraId="0C390E7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E4B99D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执行</w:t>
            </w:r>
          </w:p>
        </w:tc>
        <w:tc>
          <w:tcPr>
            <w:tcW w:w="2675" w:type="dxa"/>
            <w:vAlign w:val="center"/>
          </w:tcPr>
          <w:p w14:paraId="28B7933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考核政府采购管理是否按制度执行</w:t>
            </w:r>
          </w:p>
        </w:tc>
        <w:tc>
          <w:tcPr>
            <w:tcW w:w="2737" w:type="dxa"/>
            <w:vAlign w:val="center"/>
          </w:tcPr>
          <w:p w14:paraId="41A910B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政府采购管理按制度执行得满分，否则不得分。</w:t>
            </w:r>
          </w:p>
        </w:tc>
        <w:tc>
          <w:tcPr>
            <w:tcW w:w="953" w:type="dxa"/>
            <w:noWrap/>
            <w:vAlign w:val="center"/>
          </w:tcPr>
          <w:p w14:paraId="19A9DCE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20F123E1">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严格按照政府采购管理制度，通过预算一体化系统、政府采购</w:t>
            </w:r>
            <w:r>
              <w:rPr>
                <w:rFonts w:hint="eastAsia" w:ascii="宋体" w:hAnsi="宋体" w:eastAsia="宋体" w:cs="宋体"/>
                <w:color w:val="auto"/>
                <w:kern w:val="0"/>
                <w:sz w:val="24"/>
                <w:highlight w:val="none"/>
                <w:lang w:eastAsia="zh-CN"/>
              </w:rPr>
              <w:t>苏采云</w:t>
            </w:r>
            <w:r>
              <w:rPr>
                <w:rFonts w:hint="eastAsia" w:ascii="宋体" w:hAnsi="宋体" w:eastAsia="宋体" w:cs="宋体"/>
                <w:color w:val="auto"/>
                <w:kern w:val="0"/>
                <w:sz w:val="24"/>
                <w:highlight w:val="none"/>
              </w:rPr>
              <w:t>相关专用网站进行采购计划实施和采购</w:t>
            </w:r>
            <w:r>
              <w:rPr>
                <w:rFonts w:hint="eastAsia" w:ascii="宋体" w:hAnsi="宋体" w:eastAsia="宋体" w:cs="宋体"/>
                <w:color w:val="auto"/>
                <w:kern w:val="0"/>
                <w:sz w:val="24"/>
                <w:highlight w:val="none"/>
                <w:lang w:eastAsia="zh-CN"/>
              </w:rPr>
              <w:t>付</w:t>
            </w:r>
            <w:r>
              <w:rPr>
                <w:rFonts w:hint="eastAsia" w:ascii="宋体" w:hAnsi="宋体" w:eastAsia="宋体" w:cs="宋体"/>
                <w:color w:val="auto"/>
                <w:kern w:val="0"/>
                <w:sz w:val="24"/>
                <w:highlight w:val="none"/>
              </w:rPr>
              <w:t>款，程序规范。</w:t>
            </w:r>
          </w:p>
        </w:tc>
      </w:tr>
      <w:tr w14:paraId="0267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441" w:type="dxa"/>
            <w:vMerge w:val="continue"/>
            <w:vAlign w:val="center"/>
          </w:tcPr>
          <w:p w14:paraId="1027AA7E">
            <w:pPr>
              <w:spacing w:line="320" w:lineRule="exact"/>
              <w:jc w:val="left"/>
              <w:rPr>
                <w:rFonts w:hint="eastAsia" w:ascii="宋体" w:hAnsi="宋体" w:eastAsia="宋体" w:cs="宋体"/>
                <w:color w:val="auto"/>
                <w:kern w:val="0"/>
                <w:sz w:val="24"/>
                <w:highlight w:val="none"/>
              </w:rPr>
            </w:pPr>
          </w:p>
        </w:tc>
        <w:tc>
          <w:tcPr>
            <w:tcW w:w="1215" w:type="dxa"/>
            <w:vMerge w:val="restart"/>
            <w:vAlign w:val="center"/>
          </w:tcPr>
          <w:p w14:paraId="60B00A7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B5内部控制管理（3分）</w:t>
            </w:r>
          </w:p>
        </w:tc>
        <w:tc>
          <w:tcPr>
            <w:tcW w:w="1311" w:type="dxa"/>
            <w:vAlign w:val="center"/>
          </w:tcPr>
          <w:p w14:paraId="59C43F0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B51内部控制建设情况</w:t>
            </w:r>
          </w:p>
        </w:tc>
        <w:tc>
          <w:tcPr>
            <w:tcW w:w="700" w:type="dxa"/>
            <w:vAlign w:val="center"/>
          </w:tcPr>
          <w:p w14:paraId="6599E12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25E242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健全</w:t>
            </w:r>
          </w:p>
        </w:tc>
        <w:tc>
          <w:tcPr>
            <w:tcW w:w="2675" w:type="dxa"/>
            <w:vAlign w:val="center"/>
          </w:tcPr>
          <w:p w14:paraId="135EEF9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考核部门内部控制建设情况，是否有内部控制制度落实在手册等文本上</w:t>
            </w:r>
          </w:p>
        </w:tc>
        <w:tc>
          <w:tcPr>
            <w:tcW w:w="2737" w:type="dxa"/>
            <w:vAlign w:val="center"/>
          </w:tcPr>
          <w:p w14:paraId="2273142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内部控制落实到位得满分，否则不得分。</w:t>
            </w:r>
          </w:p>
        </w:tc>
        <w:tc>
          <w:tcPr>
            <w:tcW w:w="953" w:type="dxa"/>
            <w:noWrap/>
            <w:vAlign w:val="center"/>
          </w:tcPr>
          <w:p w14:paraId="5DDBAF82">
            <w:pPr>
              <w:spacing w:line="320" w:lineRule="exact"/>
              <w:jc w:val="center"/>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w:t>
            </w:r>
          </w:p>
        </w:tc>
        <w:tc>
          <w:tcPr>
            <w:tcW w:w="2089" w:type="dxa"/>
            <w:vAlign w:val="center"/>
          </w:tcPr>
          <w:p w14:paraId="4420F031">
            <w:pPr>
              <w:spacing w:line="320" w:lineRule="exact"/>
              <w:jc w:val="both"/>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不断优化</w:t>
            </w:r>
            <w:r>
              <w:rPr>
                <w:rFonts w:hint="eastAsia" w:ascii="宋体" w:hAnsi="宋体" w:eastAsia="宋体" w:cs="宋体"/>
                <w:color w:val="auto"/>
                <w:kern w:val="0"/>
                <w:sz w:val="24"/>
                <w:highlight w:val="none"/>
                <w:lang w:eastAsia="zh-CN"/>
              </w:rPr>
              <w:t>内部控制制度，</w:t>
            </w:r>
            <w:r>
              <w:rPr>
                <w:rFonts w:hint="eastAsia" w:ascii="宋体" w:hAnsi="宋体" w:eastAsia="宋体" w:cs="宋体"/>
                <w:color w:val="auto"/>
                <w:kern w:val="0"/>
                <w:sz w:val="24"/>
                <w:highlight w:val="none"/>
              </w:rPr>
              <w:t>成立内控工作管理小组，针对内控建设中</w:t>
            </w:r>
            <w:r>
              <w:rPr>
                <w:rFonts w:hint="eastAsia" w:ascii="宋体" w:hAnsi="宋体" w:eastAsia="宋体" w:cs="宋体"/>
                <w:color w:val="auto"/>
                <w:kern w:val="0"/>
                <w:sz w:val="24"/>
                <w:highlight w:val="none"/>
                <w:lang w:eastAsia="zh-CN"/>
              </w:rPr>
              <w:t>可能</w:t>
            </w:r>
            <w:r>
              <w:rPr>
                <w:rFonts w:hint="eastAsia" w:ascii="宋体" w:hAnsi="宋体" w:eastAsia="宋体" w:cs="宋体"/>
                <w:color w:val="auto"/>
                <w:kern w:val="0"/>
                <w:sz w:val="24"/>
                <w:highlight w:val="none"/>
              </w:rPr>
              <w:t>存在的</w:t>
            </w:r>
            <w:r>
              <w:rPr>
                <w:rFonts w:hint="eastAsia" w:ascii="宋体" w:hAnsi="宋体" w:eastAsia="宋体" w:cs="宋体"/>
                <w:color w:val="auto"/>
                <w:kern w:val="0"/>
                <w:sz w:val="24"/>
                <w:highlight w:val="none"/>
                <w:lang w:eastAsia="zh-CN"/>
              </w:rPr>
              <w:t>风险点进行预判分析，进一步完善内部控制建设。</w:t>
            </w:r>
          </w:p>
        </w:tc>
      </w:tr>
      <w:tr w14:paraId="2E7E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2026523A">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7585D8A5">
            <w:pPr>
              <w:spacing w:line="320" w:lineRule="exact"/>
              <w:jc w:val="left"/>
              <w:rPr>
                <w:rFonts w:hint="eastAsia" w:ascii="宋体" w:hAnsi="宋体" w:eastAsia="宋体" w:cs="宋体"/>
                <w:color w:val="auto"/>
                <w:kern w:val="0"/>
                <w:sz w:val="24"/>
                <w:highlight w:val="none"/>
              </w:rPr>
            </w:pPr>
          </w:p>
        </w:tc>
        <w:tc>
          <w:tcPr>
            <w:tcW w:w="1311" w:type="dxa"/>
            <w:vAlign w:val="center"/>
          </w:tcPr>
          <w:p w14:paraId="7DB2F1A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B52内部控制执行情况</w:t>
            </w:r>
          </w:p>
        </w:tc>
        <w:tc>
          <w:tcPr>
            <w:tcW w:w="700" w:type="dxa"/>
            <w:vAlign w:val="center"/>
          </w:tcPr>
          <w:p w14:paraId="02179B0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0BE1900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执行</w:t>
            </w:r>
          </w:p>
        </w:tc>
        <w:tc>
          <w:tcPr>
            <w:tcW w:w="2675" w:type="dxa"/>
            <w:vAlign w:val="center"/>
          </w:tcPr>
          <w:p w14:paraId="1FA7A40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考核部门内部控制执行情况，通过重新执行程序评价内控是否有效</w:t>
            </w:r>
          </w:p>
        </w:tc>
        <w:tc>
          <w:tcPr>
            <w:tcW w:w="2737" w:type="dxa"/>
            <w:vAlign w:val="center"/>
          </w:tcPr>
          <w:p w14:paraId="5530418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内部控制执行有效得满分，否则不得分。</w:t>
            </w:r>
          </w:p>
        </w:tc>
        <w:tc>
          <w:tcPr>
            <w:tcW w:w="953" w:type="dxa"/>
            <w:noWrap/>
            <w:vAlign w:val="center"/>
          </w:tcPr>
          <w:p w14:paraId="67A87C86">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3958291C">
            <w:pPr>
              <w:spacing w:line="320" w:lineRule="exact"/>
              <w:jc w:val="both"/>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不断完善更新与预决算、收支、资产、合同等相关的</w:t>
            </w:r>
            <w:r>
              <w:rPr>
                <w:rFonts w:hint="eastAsia" w:ascii="宋体" w:hAnsi="宋体" w:eastAsia="宋体" w:cs="宋体"/>
                <w:color w:val="auto"/>
                <w:kern w:val="0"/>
                <w:sz w:val="24"/>
                <w:highlight w:val="none"/>
              </w:rPr>
              <w:t>内部控制</w:t>
            </w:r>
            <w:r>
              <w:rPr>
                <w:rFonts w:hint="eastAsia" w:ascii="宋体" w:hAnsi="宋体" w:eastAsia="宋体" w:cs="宋体"/>
                <w:color w:val="auto"/>
                <w:kern w:val="0"/>
                <w:sz w:val="24"/>
                <w:highlight w:val="none"/>
                <w:lang w:eastAsia="zh-CN"/>
              </w:rPr>
              <w:t>制度并严格按制度执行，结合幼儿园实际逐步完善</w:t>
            </w:r>
            <w:r>
              <w:rPr>
                <w:rFonts w:hint="eastAsia" w:ascii="宋体" w:hAnsi="宋体" w:eastAsia="宋体" w:cs="宋体"/>
                <w:color w:val="auto"/>
                <w:kern w:val="0"/>
                <w:sz w:val="24"/>
                <w:highlight w:val="none"/>
              </w:rPr>
              <w:t>内部控制</w:t>
            </w:r>
            <w:r>
              <w:rPr>
                <w:rFonts w:hint="eastAsia" w:ascii="宋体" w:hAnsi="宋体" w:eastAsia="宋体" w:cs="宋体"/>
                <w:color w:val="auto"/>
                <w:kern w:val="0"/>
                <w:sz w:val="24"/>
                <w:highlight w:val="none"/>
                <w:lang w:eastAsia="zh-CN"/>
              </w:rPr>
              <w:t>执行程序。</w:t>
            </w:r>
          </w:p>
        </w:tc>
      </w:tr>
      <w:tr w14:paraId="3B94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1441" w:type="dxa"/>
            <w:vMerge w:val="continue"/>
            <w:vAlign w:val="center"/>
          </w:tcPr>
          <w:p w14:paraId="0799248B">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2A7AC345">
            <w:pPr>
              <w:spacing w:line="320" w:lineRule="exact"/>
              <w:jc w:val="left"/>
              <w:rPr>
                <w:rFonts w:hint="eastAsia" w:ascii="宋体" w:hAnsi="宋体" w:eastAsia="宋体" w:cs="宋体"/>
                <w:color w:val="auto"/>
                <w:kern w:val="0"/>
                <w:sz w:val="24"/>
                <w:highlight w:val="none"/>
              </w:rPr>
            </w:pPr>
          </w:p>
        </w:tc>
        <w:tc>
          <w:tcPr>
            <w:tcW w:w="1311" w:type="dxa"/>
            <w:vAlign w:val="center"/>
          </w:tcPr>
          <w:p w14:paraId="4FC28C3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B53内部控制监督评价</w:t>
            </w:r>
          </w:p>
        </w:tc>
        <w:tc>
          <w:tcPr>
            <w:tcW w:w="700" w:type="dxa"/>
            <w:vAlign w:val="center"/>
          </w:tcPr>
          <w:p w14:paraId="0B833A7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1C68B43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有效</w:t>
            </w:r>
          </w:p>
        </w:tc>
        <w:tc>
          <w:tcPr>
            <w:tcW w:w="2675" w:type="dxa"/>
            <w:vAlign w:val="center"/>
          </w:tcPr>
          <w:p w14:paraId="3DE7564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考核部门内部控制监督评价情况，是否有单位内部控制评价报告。</w:t>
            </w:r>
          </w:p>
        </w:tc>
        <w:tc>
          <w:tcPr>
            <w:tcW w:w="2737" w:type="dxa"/>
            <w:vAlign w:val="center"/>
          </w:tcPr>
          <w:p w14:paraId="001B669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内部控制监督评价有效得满分，否则不得分。</w:t>
            </w:r>
          </w:p>
        </w:tc>
        <w:tc>
          <w:tcPr>
            <w:tcW w:w="953" w:type="dxa"/>
            <w:noWrap/>
            <w:vAlign w:val="center"/>
          </w:tcPr>
          <w:p w14:paraId="4F0BBD0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1EC9BD11">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每年按时上报部门内部控制报告。</w:t>
            </w:r>
            <w:r>
              <w:rPr>
                <w:rFonts w:hint="eastAsia" w:ascii="宋体" w:hAnsi="宋体" w:cs="宋体"/>
                <w:color w:val="auto"/>
                <w:kern w:val="0"/>
                <w:sz w:val="24"/>
                <w:highlight w:val="none"/>
                <w:lang w:val="en-US" w:eastAsia="zh-CN"/>
              </w:rPr>
              <w:t>不断优化</w:t>
            </w:r>
            <w:r>
              <w:rPr>
                <w:rFonts w:hint="eastAsia" w:ascii="宋体" w:hAnsi="宋体" w:eastAsia="宋体" w:cs="宋体"/>
                <w:color w:val="auto"/>
                <w:kern w:val="0"/>
                <w:sz w:val="24"/>
                <w:highlight w:val="none"/>
                <w:lang w:val="en-US" w:eastAsia="zh-CN"/>
              </w:rPr>
              <w:t>幼儿园内控管理，内部控制监督评价有效。</w:t>
            </w:r>
          </w:p>
        </w:tc>
      </w:tr>
      <w:tr w14:paraId="4AB7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4BAECC2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B部门管理（20分）</w:t>
            </w:r>
          </w:p>
        </w:tc>
        <w:tc>
          <w:tcPr>
            <w:tcW w:w="1215" w:type="dxa"/>
            <w:vMerge w:val="restart"/>
            <w:vAlign w:val="center"/>
          </w:tcPr>
          <w:p w14:paraId="6793B37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B6预算绩效管理（5分）</w:t>
            </w:r>
          </w:p>
        </w:tc>
        <w:tc>
          <w:tcPr>
            <w:tcW w:w="1311" w:type="dxa"/>
            <w:vAlign w:val="center"/>
          </w:tcPr>
          <w:p w14:paraId="33F2BCA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B61组织管理情况</w:t>
            </w:r>
          </w:p>
        </w:tc>
        <w:tc>
          <w:tcPr>
            <w:tcW w:w="700" w:type="dxa"/>
            <w:vAlign w:val="center"/>
          </w:tcPr>
          <w:p w14:paraId="4306A33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7B97C66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良好</w:t>
            </w:r>
          </w:p>
        </w:tc>
        <w:tc>
          <w:tcPr>
            <w:tcW w:w="2675" w:type="dxa"/>
            <w:vAlign w:val="center"/>
          </w:tcPr>
          <w:p w14:paraId="763147A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主要包含制度建设、职能配置等情况</w:t>
            </w:r>
          </w:p>
        </w:tc>
        <w:tc>
          <w:tcPr>
            <w:tcW w:w="2737" w:type="dxa"/>
            <w:vAlign w:val="center"/>
          </w:tcPr>
          <w:p w14:paraId="429DEE3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组织管理良好，有制度建设、职能配置得满分，否则符合一项得0.5分。</w:t>
            </w:r>
          </w:p>
        </w:tc>
        <w:tc>
          <w:tcPr>
            <w:tcW w:w="953" w:type="dxa"/>
            <w:noWrap/>
            <w:vAlign w:val="center"/>
          </w:tcPr>
          <w:p w14:paraId="04FB23D4">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5E83C88D">
            <w:pPr>
              <w:spacing w:line="320" w:lineRule="exact"/>
              <w:jc w:val="both"/>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幼儿园</w:t>
            </w:r>
            <w:r>
              <w:rPr>
                <w:rFonts w:hint="eastAsia" w:ascii="宋体" w:hAnsi="宋体" w:eastAsia="宋体" w:cs="宋体"/>
                <w:color w:val="auto"/>
                <w:kern w:val="0"/>
                <w:sz w:val="24"/>
                <w:highlight w:val="none"/>
              </w:rPr>
              <w:t>组织管理良好，有制度建设、职能配置</w:t>
            </w:r>
            <w:r>
              <w:rPr>
                <w:rFonts w:hint="eastAsia" w:ascii="宋体" w:hAnsi="宋体" w:cs="宋体"/>
                <w:color w:val="auto"/>
                <w:kern w:val="0"/>
                <w:sz w:val="24"/>
                <w:highlight w:val="none"/>
                <w:lang w:eastAsia="zh-CN"/>
              </w:rPr>
              <w:t>。</w:t>
            </w:r>
          </w:p>
        </w:tc>
      </w:tr>
      <w:tr w14:paraId="040E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7D283391">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62383B94">
            <w:pPr>
              <w:spacing w:line="320" w:lineRule="exact"/>
              <w:jc w:val="left"/>
              <w:rPr>
                <w:rFonts w:hint="eastAsia" w:ascii="宋体" w:hAnsi="宋体" w:eastAsia="宋体" w:cs="宋体"/>
                <w:color w:val="auto"/>
                <w:kern w:val="0"/>
                <w:sz w:val="24"/>
                <w:highlight w:val="none"/>
              </w:rPr>
            </w:pPr>
          </w:p>
        </w:tc>
        <w:tc>
          <w:tcPr>
            <w:tcW w:w="1311" w:type="dxa"/>
            <w:vAlign w:val="center"/>
          </w:tcPr>
          <w:p w14:paraId="695A1BD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B62工作开展情况</w:t>
            </w:r>
          </w:p>
        </w:tc>
        <w:tc>
          <w:tcPr>
            <w:tcW w:w="700" w:type="dxa"/>
            <w:vAlign w:val="center"/>
          </w:tcPr>
          <w:p w14:paraId="1530C63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999" w:type="dxa"/>
            <w:vAlign w:val="center"/>
          </w:tcPr>
          <w:p w14:paraId="29AA364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良好</w:t>
            </w:r>
          </w:p>
        </w:tc>
        <w:tc>
          <w:tcPr>
            <w:tcW w:w="2675" w:type="dxa"/>
            <w:vAlign w:val="center"/>
          </w:tcPr>
          <w:p w14:paraId="0DFAF05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包含事前评估、目标管理、跟踪评价、自评价和整改落实，考察政策（项目）是否有5个报告</w:t>
            </w:r>
          </w:p>
        </w:tc>
        <w:tc>
          <w:tcPr>
            <w:tcW w:w="2737" w:type="dxa"/>
            <w:vAlign w:val="center"/>
          </w:tcPr>
          <w:p w14:paraId="341F99A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项目有事前评估、目标管理、跟踪评价、自评价和整改落实5个报告得满分。有一项得0.4分。</w:t>
            </w:r>
          </w:p>
        </w:tc>
        <w:tc>
          <w:tcPr>
            <w:tcW w:w="953" w:type="dxa"/>
            <w:noWrap/>
            <w:vAlign w:val="center"/>
          </w:tcPr>
          <w:p w14:paraId="6A0B4FD4">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9" w:type="dxa"/>
            <w:vAlign w:val="center"/>
          </w:tcPr>
          <w:p w14:paraId="3A38AD88">
            <w:pPr>
              <w:spacing w:line="320" w:lineRule="exact"/>
              <w:jc w:val="both"/>
              <w:rPr>
                <w:rFonts w:hint="eastAsia" w:ascii="宋体" w:hAnsi="宋体" w:eastAsia="宋体" w:cs="宋体"/>
                <w:color w:val="auto"/>
                <w:kern w:val="0"/>
                <w:sz w:val="24"/>
                <w:highlight w:val="yellow"/>
              </w:rPr>
            </w:pPr>
            <w:r>
              <w:rPr>
                <w:rFonts w:hint="eastAsia" w:ascii="宋体" w:hAnsi="宋体" w:eastAsia="宋体" w:cs="宋体"/>
                <w:color w:val="auto"/>
                <w:kern w:val="0"/>
                <w:sz w:val="24"/>
                <w:highlight w:val="none"/>
              </w:rPr>
              <w:t>202</w:t>
            </w:r>
            <w:r>
              <w:rPr>
                <w:rFonts w:hint="eastAsia" w:ascii="宋体" w:hAnsi="宋体" w:cs="宋体"/>
                <w:color w:val="auto"/>
                <w:kern w:val="0"/>
                <w:sz w:val="24"/>
                <w:highlight w:val="none"/>
                <w:lang w:val="en-US" w:eastAsia="zh-CN"/>
              </w:rPr>
              <w:t>5</w:t>
            </w:r>
            <w:r>
              <w:rPr>
                <w:rFonts w:hint="eastAsia" w:ascii="宋体" w:hAnsi="宋体" w:eastAsia="宋体" w:cs="宋体"/>
                <w:color w:val="auto"/>
                <w:kern w:val="0"/>
                <w:sz w:val="24"/>
                <w:highlight w:val="none"/>
              </w:rPr>
              <w:t>年度市级专项有事前评估、目标管理、跟踪评价、自评价报告，无必须撰写整改报告事</w:t>
            </w:r>
            <w:r>
              <w:rPr>
                <w:rFonts w:hint="eastAsia" w:ascii="宋体" w:hAnsi="宋体" w:eastAsia="宋体" w:cs="宋体"/>
                <w:color w:val="auto"/>
                <w:kern w:val="0"/>
                <w:sz w:val="24"/>
                <w:highlight w:val="none"/>
                <w:lang w:eastAsia="zh-CN"/>
              </w:rPr>
              <w:t>项</w:t>
            </w:r>
            <w:r>
              <w:rPr>
                <w:rFonts w:hint="eastAsia" w:ascii="宋体" w:hAnsi="宋体" w:eastAsia="宋体" w:cs="宋体"/>
                <w:color w:val="auto"/>
                <w:kern w:val="0"/>
                <w:sz w:val="24"/>
                <w:highlight w:val="none"/>
              </w:rPr>
              <w:t>。</w:t>
            </w:r>
          </w:p>
        </w:tc>
      </w:tr>
      <w:tr w14:paraId="26C2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772F5B5B">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280DE91B">
            <w:pPr>
              <w:spacing w:line="320" w:lineRule="exact"/>
              <w:jc w:val="left"/>
              <w:rPr>
                <w:rFonts w:hint="eastAsia" w:ascii="宋体" w:hAnsi="宋体" w:eastAsia="宋体" w:cs="宋体"/>
                <w:color w:val="auto"/>
                <w:kern w:val="0"/>
                <w:sz w:val="24"/>
                <w:highlight w:val="none"/>
              </w:rPr>
            </w:pPr>
          </w:p>
        </w:tc>
        <w:tc>
          <w:tcPr>
            <w:tcW w:w="1311" w:type="dxa"/>
            <w:vAlign w:val="center"/>
          </w:tcPr>
          <w:p w14:paraId="75825BE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B63绩效信息公开</w:t>
            </w:r>
          </w:p>
        </w:tc>
        <w:tc>
          <w:tcPr>
            <w:tcW w:w="700" w:type="dxa"/>
            <w:vAlign w:val="center"/>
          </w:tcPr>
          <w:p w14:paraId="1F96D04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999" w:type="dxa"/>
            <w:vAlign w:val="center"/>
          </w:tcPr>
          <w:p w14:paraId="7D46E25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公开</w:t>
            </w:r>
          </w:p>
        </w:tc>
        <w:tc>
          <w:tcPr>
            <w:tcW w:w="2675" w:type="dxa"/>
            <w:vAlign w:val="center"/>
          </w:tcPr>
          <w:p w14:paraId="72559C7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绩效信息是否按照规定的内容和时限在“双平台”进行公开</w:t>
            </w:r>
          </w:p>
        </w:tc>
        <w:tc>
          <w:tcPr>
            <w:tcW w:w="2737" w:type="dxa"/>
            <w:vAlign w:val="center"/>
          </w:tcPr>
          <w:p w14:paraId="7A601CA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绩效信息在双平台进行及时有效</w:t>
            </w:r>
            <w:r>
              <w:rPr>
                <w:rFonts w:hint="eastAsia" w:ascii="宋体" w:hAnsi="宋体" w:cs="宋体"/>
                <w:color w:val="auto"/>
                <w:kern w:val="0"/>
                <w:sz w:val="24"/>
                <w:highlight w:val="none"/>
                <w:lang w:eastAsia="zh-CN"/>
              </w:rPr>
              <w:t>地</w:t>
            </w:r>
            <w:r>
              <w:rPr>
                <w:rFonts w:hint="eastAsia" w:ascii="宋体" w:hAnsi="宋体" w:eastAsia="宋体" w:cs="宋体"/>
                <w:color w:val="auto"/>
                <w:kern w:val="0"/>
                <w:sz w:val="24"/>
                <w:highlight w:val="none"/>
              </w:rPr>
              <w:t>公开得满分，否则不得分。</w:t>
            </w:r>
          </w:p>
        </w:tc>
        <w:tc>
          <w:tcPr>
            <w:tcW w:w="953" w:type="dxa"/>
            <w:noWrap/>
            <w:vAlign w:val="center"/>
          </w:tcPr>
          <w:p w14:paraId="46308D41">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089" w:type="dxa"/>
            <w:vAlign w:val="center"/>
          </w:tcPr>
          <w:p w14:paraId="3954E3A5">
            <w:pPr>
              <w:spacing w:line="320" w:lineRule="exact"/>
              <w:jc w:val="both"/>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根据财政局</w:t>
            </w:r>
            <w:r>
              <w:rPr>
                <w:rFonts w:hint="eastAsia" w:ascii="宋体" w:hAnsi="宋体" w:eastAsia="宋体" w:cs="宋体"/>
                <w:color w:val="auto"/>
                <w:kern w:val="0"/>
                <w:sz w:val="24"/>
                <w:highlight w:val="none"/>
                <w:lang w:eastAsia="zh-CN"/>
              </w:rPr>
              <w:t>要求</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绩效信息</w:t>
            </w:r>
            <w:r>
              <w:rPr>
                <w:rFonts w:hint="eastAsia" w:ascii="宋体" w:hAnsi="宋体" w:cs="宋体"/>
                <w:color w:val="auto"/>
                <w:kern w:val="0"/>
                <w:sz w:val="24"/>
                <w:highlight w:val="none"/>
                <w:lang w:eastAsia="zh-CN"/>
              </w:rPr>
              <w:t>按时</w:t>
            </w:r>
            <w:r>
              <w:rPr>
                <w:rFonts w:hint="eastAsia" w:ascii="宋体" w:hAnsi="宋体" w:eastAsia="宋体" w:cs="宋体"/>
                <w:color w:val="auto"/>
                <w:kern w:val="0"/>
                <w:sz w:val="24"/>
                <w:highlight w:val="none"/>
                <w:lang w:eastAsia="zh-CN"/>
              </w:rPr>
              <w:t>在预算一体化平台、上级</w:t>
            </w:r>
            <w:r>
              <w:rPr>
                <w:rFonts w:hint="eastAsia" w:ascii="宋体" w:hAnsi="宋体" w:eastAsia="宋体" w:cs="宋体"/>
                <w:color w:val="auto"/>
                <w:kern w:val="0"/>
                <w:sz w:val="24"/>
                <w:highlight w:val="none"/>
              </w:rPr>
              <w:t>主管部门</w:t>
            </w:r>
            <w:r>
              <w:rPr>
                <w:rFonts w:hint="eastAsia" w:ascii="宋体" w:hAnsi="宋体" w:eastAsia="宋体" w:cs="宋体"/>
                <w:color w:val="auto"/>
                <w:kern w:val="0"/>
                <w:sz w:val="24"/>
                <w:highlight w:val="none"/>
                <w:lang w:eastAsia="zh-CN"/>
              </w:rPr>
              <w:t>网站双</w:t>
            </w:r>
            <w:r>
              <w:rPr>
                <w:rFonts w:hint="eastAsia" w:ascii="宋体" w:hAnsi="宋体" w:eastAsia="宋体" w:cs="宋体"/>
                <w:color w:val="auto"/>
                <w:kern w:val="0"/>
                <w:sz w:val="24"/>
                <w:highlight w:val="none"/>
              </w:rPr>
              <w:t>公开</w:t>
            </w:r>
            <w:r>
              <w:rPr>
                <w:rFonts w:hint="eastAsia" w:ascii="宋体" w:hAnsi="宋体" w:eastAsia="宋体" w:cs="宋体"/>
                <w:color w:val="auto"/>
                <w:kern w:val="0"/>
                <w:sz w:val="24"/>
                <w:highlight w:val="none"/>
                <w:lang w:eastAsia="zh-CN"/>
              </w:rPr>
              <w:t>。</w:t>
            </w:r>
          </w:p>
        </w:tc>
      </w:tr>
      <w:tr w14:paraId="6C7E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441" w:type="dxa"/>
            <w:vMerge w:val="restart"/>
            <w:vAlign w:val="center"/>
          </w:tcPr>
          <w:p w14:paraId="6E444C5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C部门履职（30分）</w:t>
            </w:r>
          </w:p>
        </w:tc>
        <w:tc>
          <w:tcPr>
            <w:tcW w:w="1215" w:type="dxa"/>
            <w:vMerge w:val="restart"/>
            <w:vAlign w:val="center"/>
          </w:tcPr>
          <w:p w14:paraId="7D4CDDA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C1 幼儿园保教工作完成情况（9分）</w:t>
            </w:r>
          </w:p>
        </w:tc>
        <w:tc>
          <w:tcPr>
            <w:tcW w:w="1311" w:type="dxa"/>
            <w:vAlign w:val="center"/>
          </w:tcPr>
          <w:p w14:paraId="036B9C4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C11幼儿园一日课程开展情况。</w:t>
            </w:r>
          </w:p>
        </w:tc>
        <w:tc>
          <w:tcPr>
            <w:tcW w:w="700" w:type="dxa"/>
            <w:noWrap/>
            <w:vAlign w:val="center"/>
          </w:tcPr>
          <w:p w14:paraId="111F64C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5C15EA6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优质</w:t>
            </w:r>
          </w:p>
        </w:tc>
        <w:tc>
          <w:tcPr>
            <w:tcW w:w="2675" w:type="dxa"/>
            <w:vAlign w:val="center"/>
          </w:tcPr>
          <w:p w14:paraId="73CA79F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贯彻教育部《3-6岁儿童学习与发展指南》，以游戏为基本活动，合理安排一日课程，无小学化现象。</w:t>
            </w:r>
          </w:p>
        </w:tc>
        <w:tc>
          <w:tcPr>
            <w:tcW w:w="2737" w:type="dxa"/>
            <w:vAlign w:val="center"/>
          </w:tcPr>
          <w:p w14:paraId="6114E7A5">
            <w:pPr>
              <w:numPr>
                <w:ilvl w:val="0"/>
                <w:numId w:val="2"/>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br w:type="page"/>
            </w:r>
            <w:r>
              <w:rPr>
                <w:rFonts w:hint="eastAsia" w:ascii="宋体" w:hAnsi="宋体" w:eastAsia="宋体" w:cs="宋体"/>
                <w:color w:val="auto"/>
                <w:kern w:val="0"/>
                <w:sz w:val="24"/>
                <w:highlight w:val="none"/>
              </w:rPr>
              <w:t>认真学习、贯彻教育部《3-6岁儿童学习与发展指南》，并落实到办园指导思想和日常管理中。1分</w:t>
            </w:r>
          </w:p>
          <w:p w14:paraId="6F8CABAD">
            <w:pPr>
              <w:numPr>
                <w:ilvl w:val="0"/>
                <w:numId w:val="2"/>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一日活动以游戏为基本活动，课程实施综合化、游戏化程度较高。1分</w:t>
            </w:r>
          </w:p>
          <w:p w14:paraId="3DC2E92D">
            <w:pPr>
              <w:numPr>
                <w:ilvl w:val="0"/>
                <w:numId w:val="2"/>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幼儿自主活动时间、空间和物质条件有保障，活动丰富多彩。1分</w:t>
            </w:r>
          </w:p>
        </w:tc>
        <w:tc>
          <w:tcPr>
            <w:tcW w:w="953" w:type="dxa"/>
            <w:noWrap/>
            <w:vAlign w:val="center"/>
          </w:tcPr>
          <w:p w14:paraId="1D8C45B7">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694D66C1">
            <w:pPr>
              <w:numPr>
                <w:ilvl w:val="0"/>
                <w:numId w:val="0"/>
              </w:numPr>
              <w:spacing w:line="320" w:lineRule="exact"/>
              <w:ind w:left="0" w:leftChars="0" w:firstLine="0" w:firstLineChars="0"/>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1.将《指南》精神融入各项专题学习中，推动教师深入学习并在一日活动中贯彻，确保理念落地。</w:t>
            </w:r>
          </w:p>
          <w:p w14:paraId="412ACF72">
            <w:pPr>
              <w:numPr>
                <w:ilvl w:val="0"/>
                <w:numId w:val="0"/>
              </w:numPr>
              <w:spacing w:line="320" w:lineRule="exact"/>
              <w:ind w:left="0" w:leftChars="0" w:firstLine="0" w:firstLineChars="0"/>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2.一日活动安排中坚持以游戏为基本活动，保证每日充足的游戏时间；课程实施上打破领域界限，以主题推进综合化教学，常态化开展游戏化教学研讨，整体游戏化程度较高，无小学化倾向。</w:t>
            </w:r>
          </w:p>
          <w:p w14:paraId="6E9C8101">
            <w:pPr>
              <w:numPr>
                <w:ilvl w:val="0"/>
                <w:numId w:val="0"/>
              </w:numPr>
              <w:spacing w:line="320" w:lineRule="exact"/>
              <w:ind w:left="0" w:leftChars="0" w:firstLine="0" w:firstLineChars="0"/>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3.通过科学作息安排保障幼儿每日充足的自主活动时间；室内外合理规划游戏空间，投放丰富的低结构材料并按需动态调整；常态化开展跨班级自主游戏，活动类型、形式多样。</w:t>
            </w:r>
          </w:p>
        </w:tc>
      </w:tr>
      <w:tr w14:paraId="1B3B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441" w:type="dxa"/>
            <w:vMerge w:val="continue"/>
            <w:vAlign w:val="center"/>
          </w:tcPr>
          <w:p w14:paraId="727718FD">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3DAFD362">
            <w:pPr>
              <w:spacing w:line="320" w:lineRule="exact"/>
              <w:jc w:val="left"/>
              <w:rPr>
                <w:rFonts w:hint="eastAsia" w:ascii="宋体" w:hAnsi="宋体" w:eastAsia="宋体" w:cs="宋体"/>
                <w:color w:val="auto"/>
                <w:kern w:val="0"/>
                <w:sz w:val="24"/>
                <w:highlight w:val="none"/>
              </w:rPr>
            </w:pPr>
          </w:p>
        </w:tc>
        <w:tc>
          <w:tcPr>
            <w:tcW w:w="1311" w:type="dxa"/>
            <w:vAlign w:val="center"/>
          </w:tcPr>
          <w:p w14:paraId="15DC12D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C12 幼儿发展水平良好。</w:t>
            </w:r>
          </w:p>
        </w:tc>
        <w:tc>
          <w:tcPr>
            <w:tcW w:w="700" w:type="dxa"/>
            <w:noWrap/>
            <w:vAlign w:val="center"/>
          </w:tcPr>
          <w:p w14:paraId="7F33437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64EC96B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优质</w:t>
            </w:r>
          </w:p>
        </w:tc>
        <w:tc>
          <w:tcPr>
            <w:tcW w:w="2675" w:type="dxa"/>
            <w:vAlign w:val="center"/>
          </w:tcPr>
          <w:p w14:paraId="24D1523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幼儿发展水平良好，评价和改进机制健全。</w:t>
            </w:r>
          </w:p>
        </w:tc>
        <w:tc>
          <w:tcPr>
            <w:tcW w:w="2737" w:type="dxa"/>
            <w:vAlign w:val="center"/>
          </w:tcPr>
          <w:p w14:paraId="6E1D83BA">
            <w:pPr>
              <w:numPr>
                <w:ilvl w:val="0"/>
                <w:numId w:val="3"/>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保教人员关注每一个幼儿的生活、学习与发展</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既关注幼儿发展的整体水平，又尊重幼儿发展的个体差异</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能比较准确、全面</w:t>
            </w:r>
            <w:r>
              <w:rPr>
                <w:rFonts w:hint="eastAsia" w:ascii="宋体" w:hAnsi="宋体" w:cs="宋体"/>
                <w:color w:val="auto"/>
                <w:kern w:val="0"/>
                <w:sz w:val="24"/>
                <w:highlight w:val="none"/>
                <w:lang w:eastAsia="zh-CN"/>
              </w:rPr>
              <w:t>地</w:t>
            </w:r>
            <w:r>
              <w:rPr>
                <w:rFonts w:hint="eastAsia" w:ascii="宋体" w:hAnsi="宋体" w:eastAsia="宋体" w:cs="宋体"/>
                <w:color w:val="auto"/>
                <w:kern w:val="0"/>
                <w:sz w:val="24"/>
                <w:highlight w:val="none"/>
              </w:rPr>
              <w:t>了解每一个幼儿的发展状态。1分</w:t>
            </w:r>
          </w:p>
          <w:p w14:paraId="6377ECAA">
            <w:pPr>
              <w:numPr>
                <w:ilvl w:val="0"/>
                <w:numId w:val="3"/>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科学实施幼儿发展水平评价，在幼儿活动中进行观察、记录、分析，进而不断改进保教工作，促进幼儿发展水平在原有基础</w:t>
            </w:r>
            <w:r>
              <w:rPr>
                <w:rFonts w:hint="eastAsia" w:ascii="宋体" w:hAnsi="宋体" w:cs="宋体"/>
                <w:color w:val="auto"/>
                <w:kern w:val="0"/>
                <w:sz w:val="24"/>
                <w:highlight w:val="none"/>
                <w:lang w:eastAsia="zh-CN"/>
              </w:rPr>
              <w:t>上</w:t>
            </w:r>
            <w:r>
              <w:rPr>
                <w:rFonts w:hint="eastAsia" w:ascii="宋体" w:hAnsi="宋体" w:eastAsia="宋体" w:cs="宋体"/>
                <w:color w:val="auto"/>
                <w:kern w:val="0"/>
                <w:sz w:val="24"/>
                <w:highlight w:val="none"/>
              </w:rPr>
              <w:t>逐步提升。1分</w:t>
            </w:r>
            <w:r>
              <w:rPr>
                <w:rFonts w:hint="eastAsia" w:ascii="宋体" w:hAnsi="宋体" w:eastAsia="宋体" w:cs="宋体"/>
                <w:color w:val="auto"/>
                <w:kern w:val="0"/>
                <w:sz w:val="24"/>
                <w:highlight w:val="none"/>
              </w:rPr>
              <w:br w:type="page"/>
            </w:r>
            <w:r>
              <w:rPr>
                <w:rFonts w:hint="eastAsia" w:ascii="宋体" w:hAnsi="宋体" w:eastAsia="宋体" w:cs="宋体"/>
                <w:color w:val="auto"/>
                <w:kern w:val="0"/>
                <w:sz w:val="24"/>
                <w:highlight w:val="none"/>
              </w:rPr>
              <w:t>3.运用多种形式建立幼儿成长档案，能真实、全面并个性</w:t>
            </w:r>
            <w:r>
              <w:rPr>
                <w:rFonts w:hint="eastAsia" w:ascii="宋体" w:hAnsi="宋体" w:cs="宋体"/>
                <w:color w:val="auto"/>
                <w:kern w:val="0"/>
                <w:sz w:val="24"/>
                <w:highlight w:val="none"/>
                <w:lang w:eastAsia="zh-CN"/>
              </w:rPr>
              <w:t>地</w:t>
            </w:r>
            <w:r>
              <w:rPr>
                <w:rFonts w:hint="eastAsia" w:ascii="宋体" w:hAnsi="宋体" w:eastAsia="宋体" w:cs="宋体"/>
                <w:color w:val="auto"/>
                <w:kern w:val="0"/>
                <w:sz w:val="24"/>
                <w:highlight w:val="none"/>
              </w:rPr>
              <w:t>反映幼儿生活、学习与发展情况。1分</w:t>
            </w:r>
          </w:p>
        </w:tc>
        <w:tc>
          <w:tcPr>
            <w:tcW w:w="953" w:type="dxa"/>
            <w:noWrap/>
            <w:vAlign w:val="center"/>
          </w:tcPr>
          <w:p w14:paraId="19AB7A0D">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6B08493C">
            <w:pPr>
              <w:numPr>
                <w:ilvl w:val="0"/>
                <w:numId w:val="0"/>
              </w:numPr>
              <w:spacing w:line="320" w:lineRule="exact"/>
              <w:ind w:leftChars="0"/>
              <w:jc w:val="both"/>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保教人员通过连续性观察、定点观察及家园沟通等方式，让每位幼儿都得到充分关注；在把握班级整体发展态势的同时，注重不同幼儿的特点与发展节奏，借助一对一倾听等途径深入掌握幼儿的真实状态，并及时给予差异化支持。</w:t>
            </w:r>
          </w:p>
          <w:p w14:paraId="6815FCFE">
            <w:pPr>
              <w:numPr>
                <w:ilvl w:val="0"/>
                <w:numId w:val="0"/>
              </w:numPr>
              <w:spacing w:line="320" w:lineRule="exact"/>
              <w:ind w:leftChars="0"/>
              <w:jc w:val="both"/>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2.在日常活动中持续开展观察与记录，结合深度学习发展指标对幼儿发展水平进行分析判断；根据评价反馈灵活调整保教策略与支持方式，推动每位幼儿在自己原有能力基础上不断向前发展。</w:t>
            </w:r>
          </w:p>
          <w:p w14:paraId="0938D903">
            <w:pPr>
              <w:numPr>
                <w:ilvl w:val="0"/>
                <w:numId w:val="0"/>
              </w:numPr>
              <w:spacing w:line="320" w:lineRule="exact"/>
              <w:ind w:lef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highlight w:val="none"/>
                <w:lang w:val="en-US" w:eastAsia="zh-CN"/>
              </w:rPr>
              <w:t>3.综合运用成长档案、观察记录本、评价系统等工具，为每位幼儿积累发展轨迹；内容涵盖五大领域，既体现整体发展概貌，也凸显每位幼儿的独特个性与成长历程。</w:t>
            </w:r>
          </w:p>
        </w:tc>
      </w:tr>
      <w:tr w14:paraId="05CC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continue"/>
            <w:vAlign w:val="center"/>
          </w:tcPr>
          <w:p w14:paraId="0416BB16">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3C8CBA25">
            <w:pPr>
              <w:spacing w:line="320" w:lineRule="exact"/>
              <w:jc w:val="left"/>
              <w:rPr>
                <w:rFonts w:hint="eastAsia" w:ascii="宋体" w:hAnsi="宋体" w:eastAsia="宋体" w:cs="宋体"/>
                <w:color w:val="auto"/>
                <w:kern w:val="0"/>
                <w:sz w:val="24"/>
                <w:highlight w:val="none"/>
              </w:rPr>
            </w:pPr>
          </w:p>
        </w:tc>
        <w:tc>
          <w:tcPr>
            <w:tcW w:w="1311" w:type="dxa"/>
            <w:vAlign w:val="center"/>
          </w:tcPr>
          <w:p w14:paraId="0F25A60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C13幼儿安全、卫生保健工作。</w:t>
            </w:r>
          </w:p>
        </w:tc>
        <w:tc>
          <w:tcPr>
            <w:tcW w:w="700" w:type="dxa"/>
            <w:noWrap/>
            <w:vAlign w:val="center"/>
          </w:tcPr>
          <w:p w14:paraId="52D9C5B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59331D5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规范</w:t>
            </w:r>
          </w:p>
        </w:tc>
        <w:tc>
          <w:tcPr>
            <w:tcW w:w="2675" w:type="dxa"/>
            <w:vAlign w:val="center"/>
          </w:tcPr>
          <w:p w14:paraId="1877F7E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幼儿安全、卫生保健、营养配餐等制度健全并有效落实，无责任事故发生。</w:t>
            </w:r>
          </w:p>
        </w:tc>
        <w:tc>
          <w:tcPr>
            <w:tcW w:w="2737" w:type="dxa"/>
            <w:vAlign w:val="center"/>
          </w:tcPr>
          <w:p w14:paraId="1DB44986">
            <w:pPr>
              <w:numPr>
                <w:ilvl w:val="0"/>
                <w:numId w:val="4"/>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幼儿安全、卫生、保健管理制度执行有力、不断完善，营养配餐及膳食管理严格、规范。1分</w:t>
            </w:r>
          </w:p>
          <w:p w14:paraId="0C79D754">
            <w:pPr>
              <w:numPr>
                <w:ilvl w:val="0"/>
                <w:numId w:val="4"/>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卫生消毒设备齐全，运动设施安全，食堂设施齐全、设置合理，工作人员身心健康。1分</w:t>
            </w:r>
          </w:p>
          <w:p w14:paraId="64D1D94D">
            <w:pPr>
              <w:numPr>
                <w:ilvl w:val="0"/>
                <w:numId w:val="4"/>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安全卫生监督检查、考核奖惩机制运行有效、规范合理，近两年未发生安全、卫生等责任事故。1分</w:t>
            </w:r>
          </w:p>
        </w:tc>
        <w:tc>
          <w:tcPr>
            <w:tcW w:w="953" w:type="dxa"/>
            <w:noWrap/>
            <w:vAlign w:val="center"/>
          </w:tcPr>
          <w:p w14:paraId="2892FE18">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5925EC77">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1.幼儿安全、卫生、保健管理等各项规章制度完整规范，执行有力；日常工作中不断完善营养配餐及膳食管理，管理严格、规范，过程记录详实可追溯。</w:t>
            </w:r>
          </w:p>
          <w:p w14:paraId="39AB8B11">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2.卫生消毒设备齐全，运动设施安全，食堂设施齐全、流程及设备设置合理，</w:t>
            </w:r>
            <w:r>
              <w:rPr>
                <w:rFonts w:hint="eastAsia" w:ascii="宋体" w:hAnsi="宋体" w:cs="宋体"/>
                <w:color w:val="auto"/>
                <w:kern w:val="0"/>
                <w:sz w:val="24"/>
                <w:highlight w:val="none"/>
                <w:lang w:eastAsia="zh-CN"/>
              </w:rPr>
              <w:t>获得</w:t>
            </w:r>
            <w:r>
              <w:rPr>
                <w:rFonts w:hint="eastAsia" w:ascii="宋体" w:hAnsi="宋体" w:eastAsia="宋体" w:cs="宋体"/>
                <w:color w:val="auto"/>
                <w:kern w:val="0"/>
                <w:sz w:val="24"/>
                <w:highlight w:val="none"/>
              </w:rPr>
              <w:t>市场监督管理局认可，工作人员定时定点进行体检，身心健康。</w:t>
            </w:r>
          </w:p>
          <w:p w14:paraId="69EF1243">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3.安全卫生监督检查机制完善、考核奖惩制度日常在工作中运行有效、规范合理，未发生安全、卫生等责任事故。</w:t>
            </w:r>
          </w:p>
          <w:p w14:paraId="1F1FF20C">
            <w:pPr>
              <w:spacing w:line="320" w:lineRule="exact"/>
              <w:jc w:val="both"/>
              <w:rPr>
                <w:rFonts w:hint="eastAsia" w:ascii="宋体" w:hAnsi="宋体" w:eastAsia="宋体" w:cs="宋体"/>
                <w:color w:val="auto"/>
                <w:kern w:val="0"/>
                <w:sz w:val="24"/>
                <w:highlight w:val="none"/>
              </w:rPr>
            </w:pPr>
          </w:p>
        </w:tc>
      </w:tr>
      <w:tr w14:paraId="2798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7C27AA5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C部门履职（30分）</w:t>
            </w:r>
          </w:p>
        </w:tc>
        <w:tc>
          <w:tcPr>
            <w:tcW w:w="1215" w:type="dxa"/>
            <w:vMerge w:val="restart"/>
            <w:vAlign w:val="center"/>
          </w:tcPr>
          <w:p w14:paraId="62E37D3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C2教师专业发展完成情况（6分）</w:t>
            </w:r>
          </w:p>
        </w:tc>
        <w:tc>
          <w:tcPr>
            <w:tcW w:w="1311" w:type="dxa"/>
            <w:vAlign w:val="center"/>
          </w:tcPr>
          <w:p w14:paraId="0E985DA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C21各类人员专业发展。</w:t>
            </w:r>
          </w:p>
        </w:tc>
        <w:tc>
          <w:tcPr>
            <w:tcW w:w="700" w:type="dxa"/>
            <w:noWrap/>
            <w:vAlign w:val="center"/>
          </w:tcPr>
          <w:p w14:paraId="74C12CF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43D227F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专业</w:t>
            </w:r>
          </w:p>
        </w:tc>
        <w:tc>
          <w:tcPr>
            <w:tcW w:w="2675" w:type="dxa"/>
            <w:vAlign w:val="center"/>
          </w:tcPr>
          <w:p w14:paraId="5FBDF44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各类人员均有专业发展规划。</w:t>
            </w:r>
          </w:p>
        </w:tc>
        <w:tc>
          <w:tcPr>
            <w:tcW w:w="2737" w:type="dxa"/>
            <w:vAlign w:val="center"/>
          </w:tcPr>
          <w:p w14:paraId="25B934E4">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1.幼儿园和教师均制定并实施专业发展规划，年度目标任务完成情况良好，有区级及以上骨干教师，数量逐步增加。1.5分</w:t>
            </w:r>
          </w:p>
          <w:p w14:paraId="4DB3973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2.重视教科研工作，教师人人有研究专题、有观察记录习惯、有实践成果。1.5分</w:t>
            </w:r>
          </w:p>
        </w:tc>
        <w:tc>
          <w:tcPr>
            <w:tcW w:w="953" w:type="dxa"/>
            <w:noWrap/>
            <w:vAlign w:val="center"/>
          </w:tcPr>
          <w:p w14:paraId="3A9A0939">
            <w:pPr>
              <w:spacing w:line="320" w:lineRule="exact"/>
              <w:jc w:val="center"/>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en-US" w:eastAsia="zh-CN"/>
              </w:rPr>
              <w:t>3</w:t>
            </w:r>
          </w:p>
        </w:tc>
        <w:tc>
          <w:tcPr>
            <w:tcW w:w="2089" w:type="dxa"/>
            <w:vAlign w:val="center"/>
          </w:tcPr>
          <w:p w14:paraId="72F84C81">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1.教师全员制定个人专业发展规划，将年度目标分解到周计划和日常保教实践中。本年度新增区级骨干2名、区教育系统育人榜样1名，累计8人次市区级竞赛获奖、26篇案例论文获奖。</w:t>
            </w:r>
          </w:p>
          <w:p w14:paraId="5320FFBB">
            <w:pPr>
              <w:spacing w:line="320" w:lineRule="exact"/>
              <w:jc w:val="both"/>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依托省级重点课题，由核心组教师为引领，全园教师全参与。园内设托育、美术、游戏三个教研组，每位教师均有研究专题；坚持每周撰写观察记录，各教研组形成资源库等实践成果。本年度新增市区级个人课题4项、结题1项。</w:t>
            </w:r>
          </w:p>
        </w:tc>
      </w:tr>
      <w:tr w14:paraId="57ED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441" w:type="dxa"/>
            <w:vMerge w:val="continue"/>
            <w:vAlign w:val="center"/>
          </w:tcPr>
          <w:p w14:paraId="2C9FA307">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3B6BD679">
            <w:pPr>
              <w:spacing w:line="320" w:lineRule="exact"/>
              <w:jc w:val="left"/>
              <w:rPr>
                <w:rFonts w:hint="eastAsia" w:ascii="宋体" w:hAnsi="宋体" w:eastAsia="宋体" w:cs="宋体"/>
                <w:color w:val="auto"/>
                <w:kern w:val="0"/>
                <w:sz w:val="24"/>
                <w:highlight w:val="none"/>
              </w:rPr>
            </w:pPr>
          </w:p>
        </w:tc>
        <w:tc>
          <w:tcPr>
            <w:tcW w:w="1311" w:type="dxa"/>
            <w:vAlign w:val="center"/>
          </w:tcPr>
          <w:p w14:paraId="492680D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C22</w:t>
            </w:r>
            <w:r>
              <w:rPr>
                <w:rFonts w:hint="eastAsia" w:ascii="宋体" w:hAnsi="宋体" w:cs="宋体"/>
                <w:color w:val="auto"/>
                <w:kern w:val="0"/>
                <w:sz w:val="24"/>
                <w:highlight w:val="none"/>
                <w:lang w:eastAsia="zh-CN"/>
              </w:rPr>
              <w:t>师德师风建设</w:t>
            </w:r>
            <w:r>
              <w:rPr>
                <w:rFonts w:hint="eastAsia" w:ascii="宋体" w:hAnsi="宋体" w:eastAsia="宋体" w:cs="宋体"/>
                <w:color w:val="auto"/>
                <w:kern w:val="0"/>
                <w:sz w:val="24"/>
                <w:highlight w:val="none"/>
              </w:rPr>
              <w:t>情况。</w:t>
            </w:r>
          </w:p>
        </w:tc>
        <w:tc>
          <w:tcPr>
            <w:tcW w:w="700" w:type="dxa"/>
            <w:noWrap/>
            <w:vAlign w:val="center"/>
          </w:tcPr>
          <w:p w14:paraId="4872110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1ACACA7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良好</w:t>
            </w:r>
          </w:p>
        </w:tc>
        <w:tc>
          <w:tcPr>
            <w:tcW w:w="2675" w:type="dxa"/>
            <w:vAlign w:val="center"/>
          </w:tcPr>
          <w:p w14:paraId="26F6977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师德师风师能良好。</w:t>
            </w:r>
          </w:p>
        </w:tc>
        <w:tc>
          <w:tcPr>
            <w:tcW w:w="2737" w:type="dxa"/>
            <w:vAlign w:val="center"/>
          </w:tcPr>
          <w:p w14:paraId="5523D99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br w:type="page"/>
            </w:r>
            <w:r>
              <w:rPr>
                <w:rFonts w:hint="eastAsia" w:ascii="宋体" w:hAnsi="宋体" w:eastAsia="宋体" w:cs="宋体"/>
                <w:color w:val="auto"/>
                <w:kern w:val="0"/>
                <w:sz w:val="24"/>
                <w:highlight w:val="none"/>
              </w:rPr>
              <w:t>有明确的师德、师风、师能建设要求和评价方案、工作总结，家长、社会满意度达90%及以上。3分</w:t>
            </w:r>
            <w:r>
              <w:rPr>
                <w:rFonts w:hint="eastAsia" w:ascii="宋体" w:hAnsi="宋体" w:eastAsia="宋体" w:cs="宋体"/>
                <w:color w:val="auto"/>
                <w:kern w:val="0"/>
                <w:sz w:val="24"/>
                <w:highlight w:val="none"/>
              </w:rPr>
              <w:br w:type="page"/>
            </w:r>
          </w:p>
        </w:tc>
        <w:tc>
          <w:tcPr>
            <w:tcW w:w="953" w:type="dxa"/>
            <w:noWrap/>
            <w:vAlign w:val="center"/>
          </w:tcPr>
          <w:p w14:paraId="5D10BE02">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5EC11EF4">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幼儿园制定师德师风建设计划，定期开展师德师风学习教育。全年组织《初心如磐·爱与责任》《礼润师德·仪以修身》等师德专题培训3次，举办《</w:t>
            </w:r>
            <w:r>
              <w:rPr>
                <w:rFonts w:hint="eastAsia" w:ascii="宋体" w:hAnsi="宋体" w:cs="宋体"/>
                <w:color w:val="auto"/>
                <w:kern w:val="0"/>
                <w:sz w:val="24"/>
                <w:highlight w:val="none"/>
                <w:lang w:val="en-US" w:eastAsia="zh-CN"/>
              </w:rPr>
              <w:t>中华人民共和国学前教育法</w:t>
            </w:r>
            <w:r>
              <w:rPr>
                <w:rFonts w:hint="eastAsia" w:ascii="宋体" w:hAnsi="宋体" w:eastAsia="宋体" w:cs="宋体"/>
                <w:color w:val="auto"/>
                <w:kern w:val="0"/>
                <w:sz w:val="24"/>
                <w:highlight w:val="none"/>
                <w:lang w:val="en-US" w:eastAsia="zh-CN"/>
              </w:rPr>
              <w:t>》专题讲座2次，开展警示教育6次，引导教师弘扬教育家精神，坚守教育初心。本年度家长满意度达到90%以上。</w:t>
            </w:r>
          </w:p>
        </w:tc>
      </w:tr>
      <w:tr w14:paraId="013B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5" w:hRule="atLeast"/>
        </w:trPr>
        <w:tc>
          <w:tcPr>
            <w:tcW w:w="1441" w:type="dxa"/>
            <w:vMerge w:val="restart"/>
            <w:vAlign w:val="center"/>
          </w:tcPr>
          <w:p w14:paraId="4279577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C部门履职（30分）</w:t>
            </w:r>
          </w:p>
        </w:tc>
        <w:tc>
          <w:tcPr>
            <w:tcW w:w="1215" w:type="dxa"/>
            <w:vMerge w:val="restart"/>
            <w:vAlign w:val="center"/>
          </w:tcPr>
          <w:p w14:paraId="161F429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C3幼儿园环境创设完成情况（6分）</w:t>
            </w:r>
          </w:p>
        </w:tc>
        <w:tc>
          <w:tcPr>
            <w:tcW w:w="1311" w:type="dxa"/>
            <w:vAlign w:val="center"/>
          </w:tcPr>
          <w:p w14:paraId="1DE2A78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C31办园基本保障。</w:t>
            </w:r>
          </w:p>
        </w:tc>
        <w:tc>
          <w:tcPr>
            <w:tcW w:w="700" w:type="dxa"/>
            <w:noWrap/>
            <w:vAlign w:val="center"/>
          </w:tcPr>
          <w:p w14:paraId="67E4B46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0020CED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规范</w:t>
            </w:r>
          </w:p>
        </w:tc>
        <w:tc>
          <w:tcPr>
            <w:tcW w:w="2675" w:type="dxa"/>
            <w:vAlign w:val="center"/>
          </w:tcPr>
          <w:p w14:paraId="77FDC62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办园规模适度，班额符合规定，占地、用房、户外活动场地等生均资源达到规定标准。</w:t>
            </w:r>
          </w:p>
        </w:tc>
        <w:tc>
          <w:tcPr>
            <w:tcW w:w="2737" w:type="dxa"/>
            <w:vAlign w:val="center"/>
          </w:tcPr>
          <w:p w14:paraId="79CD37E0">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1.幼儿园事业规模基本稳定在2-6轨（村办园、村联办园和特殊地理位置的乡镇中心幼儿园除外）。1分</w:t>
            </w:r>
          </w:p>
          <w:p w14:paraId="3320E93C">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2.生均占地面积不少于15平方米；生均户外活动面积不少于6平方米，有阴雨天幼儿集体活动场所；生均建筑面积不少于9平方米；生均绿化面积不低于2平方米。1分</w:t>
            </w:r>
          </w:p>
          <w:p w14:paraId="0E65333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3.班级活动室和其他保教用房均按规定配置，游戏区角满足幼儿自主活动需要。1分</w:t>
            </w:r>
          </w:p>
        </w:tc>
        <w:tc>
          <w:tcPr>
            <w:tcW w:w="953" w:type="dxa"/>
            <w:noWrap/>
            <w:vAlign w:val="center"/>
          </w:tcPr>
          <w:p w14:paraId="1CAC8246">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61982A4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1.幼儿园办园规模稳定在2-3轨。</w:t>
            </w:r>
          </w:p>
          <w:p w14:paraId="6283A8A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2.生均占地面积、建筑面积、户外活动面积及绿化面积均达到省定标准，并配有可供阴雨天使用的室内活动场地。</w:t>
            </w:r>
          </w:p>
          <w:p w14:paraId="151A81B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highlight w:val="none"/>
                <w:lang w:val="en-US" w:eastAsia="zh-CN"/>
              </w:rPr>
              <w:t>3.依据2-3岁幼儿发展特点调整托育室环境布局、添置玩教具；同时常态化配置建构室、美工室、乐高室等专用活动室，各班级活动室及游戏区角设置合理、材料充足，充分满足幼儿自主游戏与探索需要。</w:t>
            </w:r>
          </w:p>
        </w:tc>
      </w:tr>
      <w:tr w14:paraId="2272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1441" w:type="dxa"/>
            <w:vMerge w:val="continue"/>
            <w:vAlign w:val="center"/>
          </w:tcPr>
          <w:p w14:paraId="2644288B">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0EC89ADF">
            <w:pPr>
              <w:spacing w:line="320" w:lineRule="exact"/>
              <w:jc w:val="left"/>
              <w:rPr>
                <w:rFonts w:hint="eastAsia" w:ascii="宋体" w:hAnsi="宋体" w:eastAsia="宋体" w:cs="宋体"/>
                <w:color w:val="auto"/>
                <w:kern w:val="0"/>
                <w:sz w:val="24"/>
                <w:highlight w:val="none"/>
              </w:rPr>
            </w:pPr>
          </w:p>
        </w:tc>
        <w:tc>
          <w:tcPr>
            <w:tcW w:w="1311" w:type="dxa"/>
            <w:vAlign w:val="center"/>
          </w:tcPr>
          <w:p w14:paraId="60D6321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C32特色环境创设。</w:t>
            </w:r>
          </w:p>
        </w:tc>
        <w:tc>
          <w:tcPr>
            <w:tcW w:w="700" w:type="dxa"/>
            <w:noWrap/>
            <w:vAlign w:val="center"/>
          </w:tcPr>
          <w:p w14:paraId="3518114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02F525D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专业</w:t>
            </w:r>
          </w:p>
        </w:tc>
        <w:tc>
          <w:tcPr>
            <w:tcW w:w="2675" w:type="dxa"/>
            <w:vAlign w:val="center"/>
          </w:tcPr>
          <w:p w14:paraId="05B0BC4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能根据幼儿园的实际情况创设符合幼儿身心发展的特色环境。</w:t>
            </w:r>
          </w:p>
        </w:tc>
        <w:tc>
          <w:tcPr>
            <w:tcW w:w="2737" w:type="dxa"/>
            <w:vAlign w:val="center"/>
          </w:tcPr>
          <w:p w14:paraId="78CF6610">
            <w:pPr>
              <w:numPr>
                <w:ilvl w:val="0"/>
                <w:numId w:val="5"/>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根据幼儿发展的需要和认知水平创设活动室和区角。1.5分</w:t>
            </w:r>
          </w:p>
          <w:p w14:paraId="087E4541">
            <w:pPr>
              <w:numPr>
                <w:ilvl w:val="0"/>
                <w:numId w:val="5"/>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根据幼儿园园本课程，创设具有幼儿园文化内涵的特色环境。1.5分</w:t>
            </w:r>
          </w:p>
        </w:tc>
        <w:tc>
          <w:tcPr>
            <w:tcW w:w="953" w:type="dxa"/>
            <w:noWrap/>
            <w:vAlign w:val="center"/>
          </w:tcPr>
          <w:p w14:paraId="097373FF">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644EDB83">
            <w:pPr>
              <w:numPr>
                <w:ilvl w:val="0"/>
                <w:numId w:val="0"/>
              </w:numPr>
              <w:spacing w:line="320" w:lineRule="exact"/>
              <w:jc w:val="both"/>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1.各班级打破区域固定界限，在空间布局、材料投放及玩法设计上注重联动与融合，使区角环境随幼儿发展水平动态调整。</w:t>
            </w:r>
          </w:p>
          <w:p w14:paraId="4585A01F">
            <w:pPr>
              <w:numPr>
                <w:ilvl w:val="0"/>
                <w:numId w:val="0"/>
              </w:numPr>
              <w:spacing w:line="320" w:lineRule="exact"/>
              <w:jc w:val="both"/>
              <w:rPr>
                <w:rFonts w:hint="eastAsia" w:ascii="宋体" w:hAnsi="宋体" w:eastAsia="宋体" w:cs="宋体"/>
                <w:color w:val="auto"/>
                <w:highlight w:val="none"/>
              </w:rPr>
            </w:pPr>
            <w:r>
              <w:rPr>
                <w:rFonts w:hint="eastAsia" w:ascii="宋体" w:hAnsi="宋体" w:eastAsia="宋体" w:cs="宋体"/>
                <w:color w:val="auto"/>
                <w:kern w:val="0"/>
                <w:sz w:val="24"/>
                <w:highlight w:val="none"/>
                <w:lang w:val="en-US" w:eastAsia="zh-CN"/>
              </w:rPr>
              <w:t>2.全园围绕活力课程理念，结合幼儿兴趣生成系列主题，将建构特色融入班级环境，覆盖托、小、中、大各年龄段，使园所文化在环境中自然彰显。</w:t>
            </w:r>
          </w:p>
        </w:tc>
      </w:tr>
      <w:tr w14:paraId="1637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25F9965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C部门履职（30分）</w:t>
            </w:r>
          </w:p>
        </w:tc>
        <w:tc>
          <w:tcPr>
            <w:tcW w:w="1215" w:type="dxa"/>
            <w:vMerge w:val="restart"/>
            <w:vAlign w:val="center"/>
          </w:tcPr>
          <w:p w14:paraId="3ADDCD0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C4保教设施设备，信息化管理完成情况（9分）</w:t>
            </w:r>
          </w:p>
        </w:tc>
        <w:tc>
          <w:tcPr>
            <w:tcW w:w="1311" w:type="dxa"/>
            <w:vAlign w:val="center"/>
          </w:tcPr>
          <w:p w14:paraId="0B29A1D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C41保教设施设备完善。</w:t>
            </w:r>
          </w:p>
        </w:tc>
        <w:tc>
          <w:tcPr>
            <w:tcW w:w="700" w:type="dxa"/>
            <w:noWrap/>
            <w:vAlign w:val="center"/>
          </w:tcPr>
          <w:p w14:paraId="0156164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7767B49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现代化</w:t>
            </w:r>
          </w:p>
        </w:tc>
        <w:tc>
          <w:tcPr>
            <w:tcW w:w="2675" w:type="dxa"/>
            <w:vAlign w:val="center"/>
          </w:tcPr>
          <w:p w14:paraId="4BD4914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保教设施设备达到装备标准并充分利用。</w:t>
            </w:r>
          </w:p>
        </w:tc>
        <w:tc>
          <w:tcPr>
            <w:tcW w:w="2737" w:type="dxa"/>
            <w:vAlign w:val="center"/>
          </w:tcPr>
          <w:p w14:paraId="0A5F289E">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 保教设施设备均达到</w:t>
            </w:r>
            <w:r>
              <w:rPr>
                <w:rFonts w:hint="eastAsia" w:ascii="宋体" w:hAnsi="宋体" w:cs="宋体"/>
                <w:color w:val="auto"/>
                <w:kern w:val="0"/>
                <w:sz w:val="24"/>
                <w:highlight w:val="none"/>
                <w:lang w:eastAsia="zh-CN"/>
              </w:rPr>
              <w:t>《江苏省幼儿园技术装备标准（试行）》</w:t>
            </w:r>
            <w:r>
              <w:rPr>
                <w:rFonts w:hint="eastAsia" w:ascii="宋体" w:hAnsi="宋体" w:eastAsia="宋体" w:cs="宋体"/>
                <w:color w:val="auto"/>
                <w:kern w:val="0"/>
                <w:sz w:val="24"/>
                <w:highlight w:val="none"/>
              </w:rPr>
              <w:t>的Ⅰ类标准。1分</w:t>
            </w:r>
          </w:p>
          <w:p w14:paraId="3C4E6031">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 建立保教设施设备使用、管理、更新制度。1分</w:t>
            </w:r>
          </w:p>
          <w:p w14:paraId="4DFBD71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 保教设施设备管理规范，使用效率高。1分</w:t>
            </w:r>
          </w:p>
        </w:tc>
        <w:tc>
          <w:tcPr>
            <w:tcW w:w="953" w:type="dxa"/>
            <w:vAlign w:val="center"/>
          </w:tcPr>
          <w:p w14:paraId="46F04772">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14B5084C">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1.全园保教设施设备均达到省级装备Ⅰ类标准，本年度添置托育室内感统运动材料、室外体适能等游戏材料，符合规范要求。</w:t>
            </w:r>
          </w:p>
          <w:p w14:paraId="1A7DE998">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2.建立分管园长、年级组长、班组长逐层管理路径，完善使用、管理、更新制度，采取学年交接与日常维护相结合的方式，确保制度落地、责任到人。</w:t>
            </w:r>
          </w:p>
          <w:p w14:paraId="603C7815">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3.设备日常管理实行“谁使用谁负责、定期巡检、及时报修”机制，各班级及专用室设备完好率高，各类设施充分运用于一日保教活动，实现物尽其用。</w:t>
            </w:r>
          </w:p>
        </w:tc>
      </w:tr>
      <w:tr w14:paraId="7CCC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41" w:type="dxa"/>
            <w:vMerge w:val="continue"/>
            <w:vAlign w:val="center"/>
          </w:tcPr>
          <w:p w14:paraId="50764E29">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B35BFFC">
            <w:pPr>
              <w:spacing w:line="320" w:lineRule="exact"/>
              <w:jc w:val="left"/>
              <w:rPr>
                <w:rFonts w:hint="eastAsia" w:ascii="宋体" w:hAnsi="宋体" w:eastAsia="宋体" w:cs="宋体"/>
                <w:color w:val="auto"/>
                <w:kern w:val="0"/>
                <w:sz w:val="24"/>
                <w:highlight w:val="none"/>
              </w:rPr>
            </w:pPr>
          </w:p>
        </w:tc>
        <w:tc>
          <w:tcPr>
            <w:tcW w:w="1311" w:type="dxa"/>
            <w:vAlign w:val="center"/>
          </w:tcPr>
          <w:p w14:paraId="1E726CD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C42各类玩教具充分利用。</w:t>
            </w:r>
          </w:p>
        </w:tc>
        <w:tc>
          <w:tcPr>
            <w:tcW w:w="700" w:type="dxa"/>
            <w:noWrap/>
            <w:vAlign w:val="center"/>
          </w:tcPr>
          <w:p w14:paraId="2C3982C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2D0EBA2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现代化</w:t>
            </w:r>
          </w:p>
        </w:tc>
        <w:tc>
          <w:tcPr>
            <w:tcW w:w="2675" w:type="dxa"/>
            <w:vAlign w:val="center"/>
          </w:tcPr>
          <w:p w14:paraId="0F42F97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各类玩教具达到装备标准并充分利用。</w:t>
            </w:r>
          </w:p>
        </w:tc>
        <w:tc>
          <w:tcPr>
            <w:tcW w:w="2737" w:type="dxa"/>
            <w:vAlign w:val="center"/>
          </w:tcPr>
          <w:p w14:paraId="1ED6E133">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 玩具、教具、图书配备均达到</w:t>
            </w:r>
            <w:r>
              <w:rPr>
                <w:rFonts w:hint="eastAsia" w:ascii="宋体" w:hAnsi="宋体" w:cs="宋体"/>
                <w:color w:val="auto"/>
                <w:kern w:val="0"/>
                <w:sz w:val="24"/>
                <w:highlight w:val="none"/>
                <w:lang w:eastAsia="zh-CN"/>
              </w:rPr>
              <w:t>《江苏省幼儿园技术装备标准（试行）》</w:t>
            </w:r>
            <w:r>
              <w:rPr>
                <w:rFonts w:hint="eastAsia" w:ascii="宋体" w:hAnsi="宋体" w:eastAsia="宋体" w:cs="宋体"/>
                <w:color w:val="auto"/>
                <w:kern w:val="0"/>
                <w:sz w:val="24"/>
                <w:highlight w:val="none"/>
              </w:rPr>
              <w:t>的Ⅰ类标准，并有一定数量的自制教玩具。1分</w:t>
            </w:r>
          </w:p>
          <w:p w14:paraId="3A4A75E5">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 建立教具玩具图书使用、管理、更新制度。1分</w:t>
            </w:r>
          </w:p>
          <w:p w14:paraId="518E644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 教具、玩具、图书管理规范，使用效率高。1分</w:t>
            </w:r>
          </w:p>
        </w:tc>
        <w:tc>
          <w:tcPr>
            <w:tcW w:w="953" w:type="dxa"/>
            <w:vAlign w:val="center"/>
          </w:tcPr>
          <w:p w14:paraId="056F74D9">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5A80FD65">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1.全园玩教具及图书配备达到省级装备Ⅰ类标准。本年度结合托育需求及幼儿探索兴趣，添置了感统玩具、触感书等。教师结合晨锻、日常游戏及集体教学活动，常态化自制教玩具，丰富游戏内容。</w:t>
            </w:r>
          </w:p>
          <w:p w14:paraId="74E8F5E5">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2.落实玩教具及图书的使用、管理与更新制度，班级定期轮换、添置玩具和图书，并常态化开展自制图书、图书共享等活动。</w:t>
            </w:r>
          </w:p>
          <w:p w14:paraId="12F8B3FC">
            <w:pPr>
              <w:numPr>
                <w:ilvl w:val="0"/>
                <w:numId w:val="0"/>
              </w:num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3.各类玩教具与图书管理流程规范，借阅使用记录完整。通过区域联动、主题课程渗透等方式提高使用效率，做到物尽其用。</w:t>
            </w:r>
          </w:p>
        </w:tc>
      </w:tr>
      <w:tr w14:paraId="3366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441" w:type="dxa"/>
            <w:vMerge w:val="continue"/>
            <w:vAlign w:val="center"/>
          </w:tcPr>
          <w:p w14:paraId="7156A6EF">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47DE71F6">
            <w:pPr>
              <w:spacing w:line="320" w:lineRule="exact"/>
              <w:jc w:val="left"/>
              <w:rPr>
                <w:rFonts w:hint="eastAsia" w:ascii="宋体" w:hAnsi="宋体" w:eastAsia="宋体" w:cs="宋体"/>
                <w:color w:val="auto"/>
                <w:kern w:val="0"/>
                <w:sz w:val="24"/>
                <w:highlight w:val="none"/>
              </w:rPr>
            </w:pPr>
          </w:p>
        </w:tc>
        <w:tc>
          <w:tcPr>
            <w:tcW w:w="1311" w:type="dxa"/>
            <w:vAlign w:val="center"/>
          </w:tcPr>
          <w:p w14:paraId="5595846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C43幼儿园信息化管理。</w:t>
            </w:r>
          </w:p>
        </w:tc>
        <w:tc>
          <w:tcPr>
            <w:tcW w:w="700" w:type="dxa"/>
            <w:noWrap/>
            <w:vAlign w:val="center"/>
          </w:tcPr>
          <w:p w14:paraId="0031B40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999" w:type="dxa"/>
            <w:noWrap/>
            <w:vAlign w:val="center"/>
          </w:tcPr>
          <w:p w14:paraId="4EE6174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先进</w:t>
            </w:r>
          </w:p>
        </w:tc>
        <w:tc>
          <w:tcPr>
            <w:tcW w:w="2675" w:type="dxa"/>
            <w:vAlign w:val="center"/>
          </w:tcPr>
          <w:p w14:paraId="1AB52F8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幼儿园各类数据采集准确、及时。</w:t>
            </w:r>
          </w:p>
        </w:tc>
        <w:tc>
          <w:tcPr>
            <w:tcW w:w="2737" w:type="dxa"/>
            <w:vAlign w:val="center"/>
          </w:tcPr>
          <w:p w14:paraId="5C1861A4">
            <w:pPr>
              <w:numPr>
                <w:ilvl w:val="0"/>
                <w:numId w:val="6"/>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幼儿园宽带接入互联网，节点到达每个班级活动室和其他教育用房，网速满足保教工作需要。1分</w:t>
            </w:r>
          </w:p>
          <w:p w14:paraId="5A7A8E82">
            <w:pPr>
              <w:numPr>
                <w:ilvl w:val="0"/>
                <w:numId w:val="6"/>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管理人员和专任教师熟练掌握教育信息化基础技术，信息技术在园务管理、教育活动中能合理运用。1分</w:t>
            </w:r>
          </w:p>
          <w:p w14:paraId="3EC85617">
            <w:pPr>
              <w:numPr>
                <w:ilvl w:val="0"/>
                <w:numId w:val="6"/>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幼儿园网页内容丰富、更新及时，成为课程实施、家园互动、保教管理的有效平台。及时、准确报送幼儿园管理信息。1分</w:t>
            </w:r>
            <w:r>
              <w:rPr>
                <w:rFonts w:hint="eastAsia" w:ascii="宋体" w:hAnsi="宋体" w:eastAsia="宋体" w:cs="宋体"/>
                <w:color w:val="auto"/>
                <w:kern w:val="0"/>
                <w:sz w:val="24"/>
                <w:highlight w:val="none"/>
              </w:rPr>
              <w:br w:type="page"/>
            </w:r>
          </w:p>
        </w:tc>
        <w:tc>
          <w:tcPr>
            <w:tcW w:w="953" w:type="dxa"/>
            <w:vAlign w:val="center"/>
          </w:tcPr>
          <w:p w14:paraId="544AD0A0">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9" w:type="dxa"/>
            <w:vAlign w:val="center"/>
          </w:tcPr>
          <w:p w14:paraId="6D95408F">
            <w:pPr>
              <w:shd w:val="clea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1.幼儿园宽带接入互联网，网络节点覆盖每个班级活动室及户外区域，网速满足保教工作需要。</w:t>
            </w:r>
          </w:p>
          <w:p w14:paraId="43EF833A">
            <w:pPr>
              <w:shd w:val="clea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2.组织教师参加信息素养提升、数字化教学优质课、微课大赛等，</w:t>
            </w:r>
            <w:r>
              <w:rPr>
                <w:rFonts w:hint="eastAsia" w:ascii="宋体" w:hAnsi="宋体" w:cs="宋体"/>
                <w:color w:val="auto"/>
                <w:kern w:val="0"/>
                <w:sz w:val="24"/>
                <w:highlight w:val="none"/>
                <w:lang w:eastAsia="zh-CN"/>
              </w:rPr>
              <w:t>获得</w:t>
            </w:r>
            <w:r>
              <w:rPr>
                <w:rFonts w:hint="eastAsia" w:ascii="宋体" w:hAnsi="宋体" w:eastAsia="宋体" w:cs="宋体"/>
                <w:color w:val="auto"/>
                <w:kern w:val="0"/>
                <w:sz w:val="24"/>
                <w:highlight w:val="none"/>
              </w:rPr>
              <w:t>特等奖等多个奖项；开展AI技术实践培训，由青年教师指导全员在日常活动、稿件撰写中运用，提升信息技术能力。</w:t>
            </w:r>
          </w:p>
          <w:p w14:paraId="37E8FFDA">
            <w:pPr>
              <w:shd w:val="clea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3.依托微信公众号等平台及时发布园所动态与课程内容，与区级及以上各部门通过信息化平台保持联系，及时、准确报送各类管理信息。</w:t>
            </w:r>
          </w:p>
        </w:tc>
      </w:tr>
      <w:tr w14:paraId="0A1A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672C367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D履职绩效（30分）</w:t>
            </w:r>
          </w:p>
        </w:tc>
        <w:tc>
          <w:tcPr>
            <w:tcW w:w="1215" w:type="dxa"/>
            <w:vMerge w:val="restart"/>
            <w:vAlign w:val="center"/>
          </w:tcPr>
          <w:p w14:paraId="2979BCA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D1社会效益（20分）</w:t>
            </w:r>
          </w:p>
        </w:tc>
        <w:tc>
          <w:tcPr>
            <w:tcW w:w="1311" w:type="dxa"/>
            <w:vAlign w:val="center"/>
          </w:tcPr>
          <w:p w14:paraId="223C76B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D11社会影响辐射情况</w:t>
            </w:r>
          </w:p>
        </w:tc>
        <w:tc>
          <w:tcPr>
            <w:tcW w:w="700" w:type="dxa"/>
            <w:noWrap/>
            <w:vAlign w:val="center"/>
          </w:tcPr>
          <w:p w14:paraId="08FA017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999" w:type="dxa"/>
            <w:noWrap/>
            <w:vAlign w:val="center"/>
          </w:tcPr>
          <w:p w14:paraId="1D078ACE">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影响力</w:t>
            </w:r>
          </w:p>
        </w:tc>
        <w:tc>
          <w:tcPr>
            <w:tcW w:w="2675" w:type="dxa"/>
            <w:vAlign w:val="center"/>
          </w:tcPr>
          <w:p w14:paraId="23A51442">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积极参与共建帮扶活动。</w:t>
            </w:r>
          </w:p>
        </w:tc>
        <w:tc>
          <w:tcPr>
            <w:tcW w:w="2737" w:type="dxa"/>
            <w:vAlign w:val="center"/>
          </w:tcPr>
          <w:p w14:paraId="10A0B509">
            <w:pPr>
              <w:numPr>
                <w:ilvl w:val="0"/>
                <w:numId w:val="7"/>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幼儿园形成具有一定个性的园所文化。3分</w:t>
            </w:r>
          </w:p>
          <w:p w14:paraId="568F73A6">
            <w:pPr>
              <w:numPr>
                <w:ilvl w:val="0"/>
                <w:numId w:val="7"/>
              </w:num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在本地区有一定社会影响并发挥辐射作用。4分</w:t>
            </w:r>
            <w:r>
              <w:rPr>
                <w:rFonts w:hint="eastAsia" w:ascii="宋体" w:hAnsi="宋体" w:eastAsia="宋体" w:cs="宋体"/>
                <w:color w:val="auto"/>
                <w:kern w:val="0"/>
                <w:sz w:val="24"/>
                <w:highlight w:val="none"/>
              </w:rPr>
              <w:br w:type="page"/>
            </w:r>
          </w:p>
        </w:tc>
        <w:tc>
          <w:tcPr>
            <w:tcW w:w="953" w:type="dxa"/>
            <w:vAlign w:val="center"/>
          </w:tcPr>
          <w:p w14:paraId="2EB53A26">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2089" w:type="dxa"/>
            <w:vAlign w:val="center"/>
          </w:tcPr>
          <w:p w14:paraId="2530A764">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cs="宋体"/>
                <w:b w:val="0"/>
                <w:bCs/>
                <w:sz w:val="24"/>
                <w:szCs w:val="24"/>
                <w:lang w:val="en-US" w:eastAsia="zh-CN"/>
              </w:rPr>
            </w:pPr>
            <w:r>
              <w:rPr>
                <w:rFonts w:hint="eastAsia" w:ascii="宋体" w:hAnsi="宋体" w:cs="宋体"/>
                <w:b w:val="0"/>
                <w:bCs/>
                <w:sz w:val="24"/>
                <w:szCs w:val="24"/>
                <w:lang w:val="en-US" w:eastAsia="zh-CN"/>
              </w:rPr>
              <w:t>1.围绕“倾听”理念，创设“闪光的我”“学习成长墙”等个性化环境板块，将每位幼儿在个性品质、兴趣爱好等方面的特点通过表达表征方式在环境中呈现，逐步形成彰显幼儿主体性的园所文化氛围。</w:t>
            </w:r>
          </w:p>
          <w:p w14:paraId="0CB03102">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18"/>
                <w:szCs w:val="18"/>
                <w:highlight w:val="none"/>
              </w:rPr>
            </w:pPr>
            <w:r>
              <w:rPr>
                <w:rFonts w:hint="eastAsia" w:ascii="宋体" w:hAnsi="宋体" w:cs="宋体"/>
                <w:b w:val="0"/>
                <w:bCs/>
                <w:sz w:val="24"/>
                <w:szCs w:val="24"/>
                <w:lang w:val="en-US" w:eastAsia="zh-CN"/>
              </w:rPr>
              <w:t>2.接待本区教研员、园长及骨干教师来园观摩环境创设成果，重点展示基于“倾听”理念的文化环境，将园所文化特色向同行推广，在本地区形成良好社会影响，发挥文化辐射作用。</w:t>
            </w:r>
          </w:p>
        </w:tc>
      </w:tr>
      <w:tr w14:paraId="19C6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trPr>
        <w:tc>
          <w:tcPr>
            <w:tcW w:w="1441" w:type="dxa"/>
            <w:vMerge w:val="continue"/>
            <w:vAlign w:val="center"/>
          </w:tcPr>
          <w:p w14:paraId="6B784B69">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534C3964">
            <w:pPr>
              <w:spacing w:line="320" w:lineRule="exact"/>
              <w:jc w:val="left"/>
              <w:rPr>
                <w:rFonts w:hint="eastAsia" w:ascii="宋体" w:hAnsi="宋体" w:eastAsia="宋体" w:cs="宋体"/>
                <w:color w:val="auto"/>
                <w:kern w:val="0"/>
                <w:sz w:val="24"/>
                <w:highlight w:val="none"/>
              </w:rPr>
            </w:pPr>
          </w:p>
        </w:tc>
        <w:tc>
          <w:tcPr>
            <w:tcW w:w="1311" w:type="dxa"/>
            <w:vAlign w:val="center"/>
          </w:tcPr>
          <w:p w14:paraId="73AA2D8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D12共建帮扶情况</w:t>
            </w:r>
          </w:p>
        </w:tc>
        <w:tc>
          <w:tcPr>
            <w:tcW w:w="700" w:type="dxa"/>
            <w:noWrap/>
            <w:vAlign w:val="center"/>
          </w:tcPr>
          <w:p w14:paraId="6F828EE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w:t>
            </w:r>
          </w:p>
        </w:tc>
        <w:tc>
          <w:tcPr>
            <w:tcW w:w="999" w:type="dxa"/>
            <w:noWrap/>
            <w:vAlign w:val="center"/>
          </w:tcPr>
          <w:p w14:paraId="088110E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合作度</w:t>
            </w:r>
          </w:p>
        </w:tc>
        <w:tc>
          <w:tcPr>
            <w:tcW w:w="2675" w:type="dxa"/>
            <w:vAlign w:val="center"/>
          </w:tcPr>
          <w:p w14:paraId="35F30D4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有相对固定的帮扶对象。</w:t>
            </w:r>
          </w:p>
        </w:tc>
        <w:tc>
          <w:tcPr>
            <w:tcW w:w="2737" w:type="dxa"/>
            <w:vAlign w:val="center"/>
          </w:tcPr>
          <w:p w14:paraId="40CFE095">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1.积极参与共建帮扶活动。3分</w:t>
            </w:r>
          </w:p>
          <w:p w14:paraId="66A4A41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2.有相对固定的帮扶对象，有具体的帮扶计划，工作成效明显。3分</w:t>
            </w:r>
          </w:p>
        </w:tc>
        <w:tc>
          <w:tcPr>
            <w:tcW w:w="953" w:type="dxa"/>
            <w:vAlign w:val="center"/>
          </w:tcPr>
          <w:p w14:paraId="37452598">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w:t>
            </w:r>
          </w:p>
        </w:tc>
        <w:tc>
          <w:tcPr>
            <w:tcW w:w="2089" w:type="dxa"/>
            <w:vAlign w:val="center"/>
          </w:tcPr>
          <w:p w14:paraId="4465FAEA">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cs="宋体"/>
                <w:b w:val="0"/>
                <w:bCs/>
                <w:sz w:val="24"/>
                <w:szCs w:val="24"/>
                <w:lang w:val="en-US" w:eastAsia="zh-CN"/>
              </w:rPr>
            </w:pPr>
            <w:r>
              <w:rPr>
                <w:rFonts w:hint="eastAsia" w:ascii="宋体" w:hAnsi="宋体" w:cs="宋体"/>
                <w:b w:val="0"/>
                <w:bCs/>
                <w:sz w:val="24"/>
                <w:szCs w:val="24"/>
                <w:lang w:val="en-US" w:eastAsia="zh-CN"/>
              </w:rPr>
              <w:t>1.作为鼓楼区课程游戏化共同体第七组领衔园，主动承担组内共建帮扶任务，通过活动开放、经验分享等方式，引领组内园所共同发展。</w:t>
            </w:r>
          </w:p>
          <w:p w14:paraId="59429487">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cs="宋体"/>
                <w:b w:val="0"/>
                <w:bCs/>
                <w:sz w:val="24"/>
                <w:szCs w:val="24"/>
                <w:lang w:val="en-US" w:eastAsia="zh-CN"/>
              </w:rPr>
            </w:pPr>
            <w:r>
              <w:rPr>
                <w:rFonts w:hint="eastAsia" w:ascii="宋体" w:hAnsi="宋体" w:cs="宋体"/>
                <w:b w:val="0"/>
                <w:bCs/>
                <w:sz w:val="24"/>
                <w:szCs w:val="24"/>
                <w:lang w:val="en-US" w:eastAsia="zh-CN"/>
              </w:rPr>
              <w:t>2.将六合区龙池幼教集团作为相对固定的帮扶对象，邀请该集团教师来园观摩环境、参与课题研讨，并结合对方需求开展送教等活动，推动城乡幼教经验互融，取得良好帮扶成效。</w:t>
            </w:r>
          </w:p>
        </w:tc>
      </w:tr>
      <w:tr w14:paraId="340A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1441" w:type="dxa"/>
            <w:vMerge w:val="continue"/>
            <w:vAlign w:val="center"/>
          </w:tcPr>
          <w:p w14:paraId="0E285F0D">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106424BF">
            <w:pPr>
              <w:spacing w:line="320" w:lineRule="exact"/>
              <w:jc w:val="left"/>
              <w:rPr>
                <w:rFonts w:hint="eastAsia" w:ascii="宋体" w:hAnsi="宋体" w:eastAsia="宋体" w:cs="宋体"/>
                <w:color w:val="auto"/>
                <w:kern w:val="0"/>
                <w:sz w:val="24"/>
                <w:highlight w:val="none"/>
              </w:rPr>
            </w:pPr>
          </w:p>
        </w:tc>
        <w:tc>
          <w:tcPr>
            <w:tcW w:w="1311" w:type="dxa"/>
            <w:vAlign w:val="center"/>
          </w:tcPr>
          <w:p w14:paraId="1069500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D13对外交流、送教支教情况</w:t>
            </w:r>
          </w:p>
        </w:tc>
        <w:tc>
          <w:tcPr>
            <w:tcW w:w="700" w:type="dxa"/>
            <w:noWrap/>
            <w:vAlign w:val="center"/>
          </w:tcPr>
          <w:p w14:paraId="43403A7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999" w:type="dxa"/>
            <w:noWrap/>
            <w:vAlign w:val="center"/>
          </w:tcPr>
          <w:p w14:paraId="1D2A43D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影响力</w:t>
            </w:r>
          </w:p>
        </w:tc>
        <w:tc>
          <w:tcPr>
            <w:tcW w:w="2675" w:type="dxa"/>
            <w:vAlign w:val="center"/>
          </w:tcPr>
          <w:p w14:paraId="55D79A77">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发挥优质资源的辐射作用，社会满意度高。</w:t>
            </w:r>
          </w:p>
        </w:tc>
        <w:tc>
          <w:tcPr>
            <w:tcW w:w="2737" w:type="dxa"/>
            <w:vAlign w:val="center"/>
          </w:tcPr>
          <w:p w14:paraId="0B1380C8">
            <w:pPr>
              <w:spacing w:line="32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1.承担对外交流和培训活动。4分</w:t>
            </w:r>
          </w:p>
          <w:p w14:paraId="31534106">
            <w:pPr>
              <w:spacing w:line="320" w:lineRule="exact"/>
              <w:jc w:val="left"/>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rPr>
              <w:t>开展送教支教活动</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3分</w:t>
            </w:r>
          </w:p>
        </w:tc>
        <w:tc>
          <w:tcPr>
            <w:tcW w:w="953" w:type="dxa"/>
            <w:vAlign w:val="center"/>
          </w:tcPr>
          <w:p w14:paraId="0F398E11">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2089" w:type="dxa"/>
            <w:vAlign w:val="center"/>
          </w:tcPr>
          <w:p w14:paraId="55840E6C">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1.承担对外交流和培训活动：接待福建、泰州、句容等地园长、教师来园，通过专题研讨、经验分享等形式，围绕课程游戏化实践成果开展系统培训，发挥示范引领作用。</w:t>
            </w:r>
          </w:p>
          <w:p w14:paraId="06A46F79">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2.与宝地园、古林、腾飞园等社区对接，常态化开展公益送教活动。骨干教师每月走进社区，面向0-3岁家庭开展家庭教育指导服务，将优质教育资源向社区延伸。</w:t>
            </w:r>
          </w:p>
        </w:tc>
      </w:tr>
      <w:tr w14:paraId="727A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1441" w:type="dxa"/>
            <w:vMerge w:val="restart"/>
            <w:vAlign w:val="center"/>
          </w:tcPr>
          <w:p w14:paraId="262EDCC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D履职绩效（30分）</w:t>
            </w:r>
          </w:p>
        </w:tc>
        <w:tc>
          <w:tcPr>
            <w:tcW w:w="1215" w:type="dxa"/>
            <w:vMerge w:val="restart"/>
            <w:vAlign w:val="center"/>
          </w:tcPr>
          <w:p w14:paraId="285F5DD1">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D2满意度（10分）</w:t>
            </w:r>
          </w:p>
        </w:tc>
        <w:tc>
          <w:tcPr>
            <w:tcW w:w="1311" w:type="dxa"/>
            <w:vAlign w:val="center"/>
          </w:tcPr>
          <w:p w14:paraId="3540458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D21家园沟通满意度</w:t>
            </w:r>
          </w:p>
        </w:tc>
        <w:tc>
          <w:tcPr>
            <w:tcW w:w="700" w:type="dxa"/>
            <w:vAlign w:val="center"/>
          </w:tcPr>
          <w:p w14:paraId="5291138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999" w:type="dxa"/>
            <w:vAlign w:val="center"/>
          </w:tcPr>
          <w:p w14:paraId="34E868C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≥90%</w:t>
            </w:r>
          </w:p>
        </w:tc>
        <w:tc>
          <w:tcPr>
            <w:tcW w:w="2675" w:type="dxa"/>
            <w:vAlign w:val="center"/>
          </w:tcPr>
          <w:p w14:paraId="25CC3ED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家园沟通机制</w:t>
            </w:r>
          </w:p>
        </w:tc>
        <w:tc>
          <w:tcPr>
            <w:tcW w:w="2737" w:type="dxa"/>
            <w:vAlign w:val="center"/>
          </w:tcPr>
          <w:p w14:paraId="665EB2E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根据满意度调查表对服务对象进行调查。满意度≥90%，得满分；90%＞满意度≥60%，得（实际满意度/90%）*权重；满意度＜60%，不得分。</w:t>
            </w:r>
          </w:p>
        </w:tc>
        <w:tc>
          <w:tcPr>
            <w:tcW w:w="953" w:type="dxa"/>
            <w:vAlign w:val="center"/>
          </w:tcPr>
          <w:p w14:paraId="2EECD773">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2089" w:type="dxa"/>
            <w:vAlign w:val="center"/>
          </w:tcPr>
          <w:p w14:paraId="0A9ADE4D">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家长满意度达</w:t>
            </w:r>
            <w:r>
              <w:rPr>
                <w:rFonts w:hint="eastAsia" w:ascii="宋体" w:hAnsi="宋体" w:eastAsia="宋体" w:cs="宋体"/>
                <w:color w:val="auto"/>
                <w:kern w:val="0"/>
                <w:sz w:val="24"/>
                <w:highlight w:val="none"/>
                <w:lang w:val="en-US" w:eastAsia="zh-CN"/>
              </w:rPr>
              <w:t>90%以上</w:t>
            </w:r>
            <w:r>
              <w:rPr>
                <w:rFonts w:hint="eastAsia" w:ascii="宋体" w:hAnsi="宋体" w:eastAsia="宋体" w:cs="宋体"/>
                <w:color w:val="auto"/>
                <w:kern w:val="0"/>
                <w:sz w:val="24"/>
                <w:highlight w:val="none"/>
              </w:rPr>
              <w:t>。</w:t>
            </w:r>
          </w:p>
        </w:tc>
      </w:tr>
      <w:tr w14:paraId="0B0E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trPr>
        <w:tc>
          <w:tcPr>
            <w:tcW w:w="1441" w:type="dxa"/>
            <w:vMerge w:val="continue"/>
            <w:vAlign w:val="center"/>
          </w:tcPr>
          <w:p w14:paraId="419ABFBF">
            <w:pPr>
              <w:spacing w:line="320" w:lineRule="exact"/>
              <w:jc w:val="left"/>
              <w:rPr>
                <w:rFonts w:hint="eastAsia" w:ascii="宋体" w:hAnsi="宋体" w:eastAsia="宋体" w:cs="宋体"/>
                <w:color w:val="auto"/>
                <w:kern w:val="0"/>
                <w:sz w:val="24"/>
                <w:highlight w:val="none"/>
              </w:rPr>
            </w:pPr>
          </w:p>
        </w:tc>
        <w:tc>
          <w:tcPr>
            <w:tcW w:w="1215" w:type="dxa"/>
            <w:vMerge w:val="continue"/>
            <w:vAlign w:val="center"/>
          </w:tcPr>
          <w:p w14:paraId="75B0F80A">
            <w:pPr>
              <w:spacing w:line="320" w:lineRule="exact"/>
              <w:jc w:val="left"/>
              <w:rPr>
                <w:rFonts w:hint="eastAsia" w:ascii="宋体" w:hAnsi="宋体" w:eastAsia="宋体" w:cs="宋体"/>
                <w:color w:val="auto"/>
                <w:kern w:val="0"/>
                <w:sz w:val="24"/>
                <w:highlight w:val="none"/>
              </w:rPr>
            </w:pPr>
          </w:p>
        </w:tc>
        <w:tc>
          <w:tcPr>
            <w:tcW w:w="1311" w:type="dxa"/>
            <w:vAlign w:val="center"/>
          </w:tcPr>
          <w:p w14:paraId="4553925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D22社会满意度</w:t>
            </w:r>
          </w:p>
        </w:tc>
        <w:tc>
          <w:tcPr>
            <w:tcW w:w="700" w:type="dxa"/>
            <w:vAlign w:val="center"/>
          </w:tcPr>
          <w:p w14:paraId="2B454BA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999" w:type="dxa"/>
            <w:vAlign w:val="center"/>
          </w:tcPr>
          <w:p w14:paraId="69FD5B4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≥90%</w:t>
            </w:r>
          </w:p>
        </w:tc>
        <w:tc>
          <w:tcPr>
            <w:tcW w:w="2675" w:type="dxa"/>
            <w:vAlign w:val="center"/>
          </w:tcPr>
          <w:p w14:paraId="3B27EB0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社会行风评议情况</w:t>
            </w:r>
          </w:p>
        </w:tc>
        <w:tc>
          <w:tcPr>
            <w:tcW w:w="2737" w:type="dxa"/>
            <w:vAlign w:val="center"/>
          </w:tcPr>
          <w:p w14:paraId="748911F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根据满意度调查表对服务对象进行调查。满意度≥90%，得满分；90%＞满意度≥60%，得（实际满意度/90%）*权重；满意度＜60%，不得分。</w:t>
            </w:r>
          </w:p>
        </w:tc>
        <w:tc>
          <w:tcPr>
            <w:tcW w:w="953" w:type="dxa"/>
            <w:vAlign w:val="center"/>
          </w:tcPr>
          <w:p w14:paraId="3A004649">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2089" w:type="dxa"/>
            <w:vAlign w:val="center"/>
          </w:tcPr>
          <w:p w14:paraId="30D50D66">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社会满意度达</w:t>
            </w:r>
            <w:r>
              <w:rPr>
                <w:rFonts w:hint="eastAsia" w:ascii="宋体" w:hAnsi="宋体" w:eastAsia="宋体" w:cs="宋体"/>
                <w:color w:val="auto"/>
                <w:kern w:val="0"/>
                <w:sz w:val="24"/>
                <w:highlight w:val="none"/>
                <w:lang w:val="en-US" w:eastAsia="zh-CN"/>
              </w:rPr>
              <w:t>90%以上</w:t>
            </w:r>
            <w:r>
              <w:rPr>
                <w:rFonts w:hint="eastAsia" w:ascii="宋体" w:hAnsi="宋体" w:eastAsia="宋体" w:cs="宋体"/>
                <w:color w:val="auto"/>
                <w:kern w:val="0"/>
                <w:sz w:val="24"/>
                <w:highlight w:val="none"/>
              </w:rPr>
              <w:t>。</w:t>
            </w:r>
          </w:p>
        </w:tc>
      </w:tr>
      <w:tr w14:paraId="78F4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1" w:type="dxa"/>
            <w:vMerge w:val="restart"/>
            <w:vAlign w:val="center"/>
          </w:tcPr>
          <w:p w14:paraId="105087F8">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E可持续发展能力（5分）</w:t>
            </w:r>
          </w:p>
        </w:tc>
        <w:tc>
          <w:tcPr>
            <w:tcW w:w="1215" w:type="dxa"/>
            <w:vAlign w:val="center"/>
          </w:tcPr>
          <w:p w14:paraId="50572A7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E1信息化建设情况（2.5分）</w:t>
            </w:r>
          </w:p>
        </w:tc>
        <w:tc>
          <w:tcPr>
            <w:tcW w:w="1311" w:type="dxa"/>
            <w:vAlign w:val="center"/>
          </w:tcPr>
          <w:p w14:paraId="18C475B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E11办公流程、业务开展信息化情况</w:t>
            </w:r>
          </w:p>
        </w:tc>
        <w:tc>
          <w:tcPr>
            <w:tcW w:w="700" w:type="dxa"/>
            <w:vAlign w:val="center"/>
          </w:tcPr>
          <w:p w14:paraId="748CD885">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2.5</w:t>
            </w:r>
          </w:p>
        </w:tc>
        <w:tc>
          <w:tcPr>
            <w:tcW w:w="999" w:type="dxa"/>
            <w:vAlign w:val="center"/>
          </w:tcPr>
          <w:p w14:paraId="732F6F7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≥5项</w:t>
            </w:r>
          </w:p>
        </w:tc>
        <w:tc>
          <w:tcPr>
            <w:tcW w:w="2675" w:type="dxa"/>
            <w:vAlign w:val="center"/>
          </w:tcPr>
          <w:p w14:paraId="17607F86">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办公流程、业务开展是否能通过单位的信息系统实现</w:t>
            </w:r>
          </w:p>
        </w:tc>
        <w:tc>
          <w:tcPr>
            <w:tcW w:w="2737" w:type="dxa"/>
            <w:vAlign w:val="center"/>
          </w:tcPr>
          <w:p w14:paraId="7F1BEF9B">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办公流程、业务开展都能通过单位的信息系统，有1项工作通过信息系统实现得0.5分，总分不超过2.5分。</w:t>
            </w:r>
          </w:p>
        </w:tc>
        <w:tc>
          <w:tcPr>
            <w:tcW w:w="953" w:type="dxa"/>
            <w:vAlign w:val="center"/>
          </w:tcPr>
          <w:p w14:paraId="01309E56">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2.5</w:t>
            </w:r>
          </w:p>
        </w:tc>
        <w:tc>
          <w:tcPr>
            <w:tcW w:w="2089" w:type="dxa"/>
            <w:vAlign w:val="center"/>
          </w:tcPr>
          <w:p w14:paraId="72D08312">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幼儿园办公流程和业务开展全面依托信息系统运行。对外宣传借助微信公众号、视频号等发布园所动态与课程内容；内部管理使用企业微信进行部门协作、家园联系等；财务与后勤通过预算执行系统、资产管理系统开展日常工作，各类业务均实现信息化办理。</w:t>
            </w:r>
          </w:p>
        </w:tc>
      </w:tr>
      <w:tr w14:paraId="1E7A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1441" w:type="dxa"/>
            <w:vMerge w:val="continue"/>
            <w:vAlign w:val="center"/>
          </w:tcPr>
          <w:p w14:paraId="7E17119D">
            <w:pPr>
              <w:spacing w:line="320" w:lineRule="exact"/>
              <w:jc w:val="left"/>
              <w:rPr>
                <w:rFonts w:hint="eastAsia" w:ascii="宋体" w:hAnsi="宋体" w:eastAsia="宋体" w:cs="宋体"/>
                <w:color w:val="auto"/>
                <w:kern w:val="0"/>
                <w:sz w:val="24"/>
                <w:highlight w:val="none"/>
              </w:rPr>
            </w:pPr>
          </w:p>
        </w:tc>
        <w:tc>
          <w:tcPr>
            <w:tcW w:w="1215" w:type="dxa"/>
            <w:vAlign w:val="center"/>
          </w:tcPr>
          <w:p w14:paraId="07C0E740">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E2部门创新情况（2.5分）</w:t>
            </w:r>
          </w:p>
        </w:tc>
        <w:tc>
          <w:tcPr>
            <w:tcW w:w="1311" w:type="dxa"/>
            <w:vAlign w:val="center"/>
          </w:tcPr>
          <w:p w14:paraId="717E232F">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E21部门制度或服务创新情况</w:t>
            </w:r>
          </w:p>
        </w:tc>
        <w:tc>
          <w:tcPr>
            <w:tcW w:w="700" w:type="dxa"/>
            <w:vAlign w:val="center"/>
          </w:tcPr>
          <w:p w14:paraId="63D62D29">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2.5</w:t>
            </w:r>
          </w:p>
        </w:tc>
        <w:tc>
          <w:tcPr>
            <w:tcW w:w="999" w:type="dxa"/>
            <w:vAlign w:val="center"/>
          </w:tcPr>
          <w:p w14:paraId="18F824BC">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≥5项</w:t>
            </w:r>
          </w:p>
        </w:tc>
        <w:tc>
          <w:tcPr>
            <w:tcW w:w="2675" w:type="dxa"/>
            <w:vAlign w:val="center"/>
          </w:tcPr>
          <w:p w14:paraId="6D8804C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是否进行制度创新、方法创新等（部门或单位需提供创新案例被官方媒体报道的佐证材料）</w:t>
            </w:r>
          </w:p>
        </w:tc>
        <w:tc>
          <w:tcPr>
            <w:tcW w:w="2737" w:type="dxa"/>
            <w:vAlign w:val="center"/>
          </w:tcPr>
          <w:p w14:paraId="51DDF8AA">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有1种制度或服务的创新得0.5分，总分不超过2.5分</w:t>
            </w:r>
          </w:p>
        </w:tc>
        <w:tc>
          <w:tcPr>
            <w:tcW w:w="953" w:type="dxa"/>
            <w:vAlign w:val="center"/>
          </w:tcPr>
          <w:p w14:paraId="22714DB8">
            <w:pPr>
              <w:spacing w:line="320" w:lineRule="exact"/>
              <w:jc w:val="center"/>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p>
        </w:tc>
        <w:tc>
          <w:tcPr>
            <w:tcW w:w="2089" w:type="dxa"/>
            <w:vAlign w:val="center"/>
          </w:tcPr>
          <w:p w14:paraId="4EB9C1A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color w:val="000000"/>
                <w:kern w:val="0"/>
                <w:sz w:val="24"/>
                <w:szCs w:val="24"/>
                <w:lang w:val="en-US" w:eastAsia="zh-CN"/>
              </w:rPr>
            </w:pPr>
            <w:r>
              <w:rPr>
                <w:rFonts w:hint="eastAsia" w:ascii="宋体" w:hAnsi="宋体" w:cs="宋体"/>
                <w:b w:val="0"/>
                <w:bCs/>
                <w:color w:val="000000"/>
                <w:kern w:val="0"/>
                <w:sz w:val="24"/>
                <w:szCs w:val="24"/>
                <w:lang w:val="en-US" w:eastAsia="zh-CN"/>
              </w:rPr>
              <w:t>1.汇编学前教育法、教师职业道德规范、《指南》《纲要》等为教师口袋书，发放全园，便于教师随时学习政策法规。</w:t>
            </w:r>
          </w:p>
          <w:p w14:paraId="377A965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color w:val="000000"/>
                <w:kern w:val="0"/>
                <w:sz w:val="24"/>
                <w:szCs w:val="24"/>
                <w:lang w:val="en-US" w:eastAsia="zh-CN"/>
              </w:rPr>
            </w:pPr>
            <w:r>
              <w:rPr>
                <w:rFonts w:hint="eastAsia" w:ascii="宋体" w:hAnsi="宋体" w:cs="宋体"/>
                <w:b w:val="0"/>
                <w:bCs/>
                <w:color w:val="000000"/>
                <w:kern w:val="0"/>
                <w:sz w:val="24"/>
                <w:szCs w:val="24"/>
                <w:lang w:val="en-US" w:eastAsia="zh-CN"/>
              </w:rPr>
              <w:t>2.利用园内优质师资开展乐高、体适能、思维、合唱、舞蹈等社团活动，拓展幼儿活动内容与兴趣培养路径。</w:t>
            </w:r>
          </w:p>
          <w:p w14:paraId="5AA0C5E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color w:val="000000"/>
                <w:kern w:val="0"/>
                <w:sz w:val="24"/>
                <w:szCs w:val="24"/>
                <w:lang w:val="en-US" w:eastAsia="zh-CN"/>
              </w:rPr>
            </w:pPr>
            <w:r>
              <w:rPr>
                <w:rFonts w:hint="eastAsia" w:ascii="宋体" w:hAnsi="宋体" w:cs="宋体"/>
                <w:b w:val="0"/>
                <w:bCs/>
                <w:color w:val="000000"/>
                <w:kern w:val="0"/>
                <w:sz w:val="24"/>
                <w:szCs w:val="24"/>
                <w:lang w:val="en-US" w:eastAsia="zh-CN"/>
              </w:rPr>
              <w:t>3.采用混龄教育模式创新延时服务，解决家长接送难题。寒暑假以主题式开展冬令营、夏令营活动，丰富幼儿假期生活。</w:t>
            </w:r>
          </w:p>
          <w:p w14:paraId="669DBD8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kern w:val="0"/>
                <w:sz w:val="24"/>
                <w:highlight w:val="none"/>
              </w:rPr>
            </w:pPr>
            <w:r>
              <w:rPr>
                <w:rFonts w:hint="eastAsia" w:ascii="宋体" w:hAnsi="宋体" w:cs="宋体"/>
                <w:b w:val="0"/>
                <w:bCs/>
                <w:color w:val="000000"/>
                <w:kern w:val="0"/>
                <w:sz w:val="24"/>
                <w:szCs w:val="24"/>
                <w:lang w:val="en-US" w:eastAsia="zh-CN"/>
              </w:rPr>
              <w:t>4.创新开展食育课程，并依托幼儿园视频号等平台推广宣传，扩大幼儿园课程影响力。</w:t>
            </w:r>
          </w:p>
        </w:tc>
      </w:tr>
      <w:tr w14:paraId="1BEB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1441" w:type="dxa"/>
            <w:noWrap/>
            <w:vAlign w:val="center"/>
          </w:tcPr>
          <w:p w14:paraId="14C4864F">
            <w:pPr>
              <w:spacing w:line="320" w:lineRule="exact"/>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合计</w:t>
            </w:r>
          </w:p>
        </w:tc>
        <w:tc>
          <w:tcPr>
            <w:tcW w:w="1215" w:type="dxa"/>
            <w:noWrap/>
            <w:vAlign w:val="center"/>
          </w:tcPr>
          <w:p w14:paraId="79ABC6B4">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1311" w:type="dxa"/>
            <w:noWrap/>
            <w:vAlign w:val="center"/>
          </w:tcPr>
          <w:p w14:paraId="7E08E983">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700" w:type="dxa"/>
            <w:noWrap/>
            <w:vAlign w:val="center"/>
          </w:tcPr>
          <w:p w14:paraId="57D5C14F">
            <w:pPr>
              <w:spacing w:line="320" w:lineRule="exact"/>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10</w:t>
            </w:r>
            <w:r>
              <w:rPr>
                <w:rFonts w:hint="eastAsia" w:ascii="宋体" w:hAnsi="宋体" w:cs="宋体"/>
                <w:color w:val="auto"/>
                <w:kern w:val="0"/>
                <w:sz w:val="24"/>
                <w:highlight w:val="none"/>
                <w:lang w:val="en-US" w:eastAsia="zh-CN"/>
              </w:rPr>
              <w:t>0</w:t>
            </w:r>
          </w:p>
        </w:tc>
        <w:tc>
          <w:tcPr>
            <w:tcW w:w="999" w:type="dxa"/>
            <w:noWrap/>
            <w:vAlign w:val="center"/>
          </w:tcPr>
          <w:p w14:paraId="3013574D">
            <w:pPr>
              <w:spacing w:line="320" w:lineRule="exac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2675" w:type="dxa"/>
            <w:noWrap/>
            <w:vAlign w:val="center"/>
          </w:tcPr>
          <w:p w14:paraId="75B08D08">
            <w:pPr>
              <w:spacing w:line="320" w:lineRule="exact"/>
              <w:jc w:val="left"/>
              <w:rPr>
                <w:rFonts w:hint="eastAsia" w:ascii="宋体" w:hAnsi="宋体" w:eastAsia="宋体" w:cs="宋体"/>
                <w:color w:val="auto"/>
                <w:kern w:val="0"/>
                <w:sz w:val="24"/>
                <w:highlight w:val="none"/>
              </w:rPr>
            </w:pPr>
          </w:p>
        </w:tc>
        <w:tc>
          <w:tcPr>
            <w:tcW w:w="2737" w:type="dxa"/>
            <w:noWrap/>
            <w:vAlign w:val="center"/>
          </w:tcPr>
          <w:p w14:paraId="187EFA19">
            <w:pPr>
              <w:spacing w:line="320" w:lineRule="exact"/>
              <w:jc w:val="left"/>
              <w:rPr>
                <w:rFonts w:hint="eastAsia" w:ascii="宋体" w:hAnsi="宋体" w:eastAsia="宋体" w:cs="宋体"/>
                <w:color w:val="auto"/>
                <w:kern w:val="0"/>
                <w:sz w:val="24"/>
                <w:highlight w:val="none"/>
              </w:rPr>
            </w:pPr>
          </w:p>
        </w:tc>
        <w:tc>
          <w:tcPr>
            <w:tcW w:w="953" w:type="dxa"/>
            <w:noWrap/>
            <w:vAlign w:val="center"/>
          </w:tcPr>
          <w:p w14:paraId="2705D6BE">
            <w:pPr>
              <w:spacing w:line="320" w:lineRule="exact"/>
              <w:jc w:val="center"/>
              <w:rPr>
                <w:rFonts w:hint="eastAsia"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eastAsia="zh-CN"/>
              </w:rPr>
              <w:t>99</w:t>
            </w:r>
          </w:p>
        </w:tc>
        <w:tc>
          <w:tcPr>
            <w:tcW w:w="2089" w:type="dxa"/>
            <w:noWrap/>
            <w:vAlign w:val="center"/>
          </w:tcPr>
          <w:p w14:paraId="2BCDE1DB">
            <w:pPr>
              <w:spacing w:line="320" w:lineRule="exact"/>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bl>
    <w:p w14:paraId="4D256C82">
      <w:pPr>
        <w:spacing w:line="520" w:lineRule="exact"/>
        <w:rPr>
          <w:rFonts w:hint="eastAsia" w:ascii="宋体" w:hAnsi="宋体" w:eastAsia="宋体" w:cs="宋体"/>
          <w:color w:val="auto"/>
          <w:kern w:val="0"/>
          <w:sz w:val="32"/>
          <w:szCs w:val="32"/>
          <w:highlight w:val="none"/>
        </w:rPr>
      </w:pPr>
    </w:p>
    <w:p w14:paraId="04682062">
      <w:pPr>
        <w:spacing w:line="560" w:lineRule="exact"/>
        <w:rPr>
          <w:rFonts w:hint="eastAsia" w:ascii="宋体" w:hAnsi="宋体" w:eastAsia="宋体" w:cs="宋体"/>
          <w:color w:val="auto"/>
          <w:sz w:val="32"/>
          <w:szCs w:val="32"/>
          <w:highlight w:val="none"/>
        </w:rPr>
      </w:pPr>
    </w:p>
    <w:p w14:paraId="6E628CBD">
      <w:pPr>
        <w:spacing w:line="100" w:lineRule="exact"/>
        <w:rPr>
          <w:rFonts w:hint="eastAsia" w:ascii="宋体" w:hAnsi="宋体" w:eastAsia="宋体" w:cs="宋体"/>
          <w:color w:val="auto"/>
          <w:sz w:val="28"/>
          <w:szCs w:val="28"/>
          <w:highlight w:val="none"/>
        </w:rPr>
      </w:pPr>
    </w:p>
    <w:sectPr>
      <w:type w:val="continuous"/>
      <w:pgSz w:w="16839" w:h="11907" w:orient="landscape"/>
      <w:pgMar w:top="1587" w:right="2098" w:bottom="1474" w:left="1417" w:header="851" w:footer="1400" w:gutter="0"/>
      <w:pgNumType w:fmt="numberInDash"/>
      <w:cols w:space="0" w:num="1"/>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E48589-F499-4B60-8BEB-5EBCA0BE86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auto"/>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2" w:fontKey="{47CAD9D5-CB7B-4876-B75E-7B4ED7C9DC77}"/>
  </w:font>
  <w:font w:name="方正小标宋简体">
    <w:panose1 w:val="02000000000000000000"/>
    <w:charset w:val="86"/>
    <w:family w:val="auto"/>
    <w:pitch w:val="default"/>
    <w:sig w:usb0="00000001" w:usb1="08000000" w:usb2="00000000" w:usb3="00000000" w:csb0="00040000" w:csb1="00000000"/>
    <w:embedRegular r:id="rId3" w:fontKey="{64575291-F45C-4953-86C7-75274D5FA008}"/>
  </w:font>
  <w:font w:name="方正黑体_GBK">
    <w:panose1 w:val="03000509000000000000"/>
    <w:charset w:val="86"/>
    <w:family w:val="auto"/>
    <w:pitch w:val="default"/>
    <w:sig w:usb0="00000001" w:usb1="080E0000" w:usb2="00000000" w:usb3="00000000" w:csb0="00040000" w:csb1="00000000"/>
    <w:embedRegular r:id="rId4" w:fontKey="{034D7AE2-5FA1-48B1-87AC-0D19EE685E75}"/>
  </w:font>
  <w:font w:name="方正仿宋_GBK">
    <w:panose1 w:val="02000000000000000000"/>
    <w:charset w:val="86"/>
    <w:family w:val="auto"/>
    <w:pitch w:val="default"/>
    <w:sig w:usb0="A00002BF" w:usb1="38CF7CFA" w:usb2="00082016" w:usb3="00000000" w:csb0="00040001" w:csb1="00000000"/>
    <w:embedRegular r:id="rId5" w:fontKey="{3B5807D1-E8FA-473C-A1ED-47614D7DABA2}"/>
  </w:font>
  <w:font w:name="Times New Roman Regular">
    <w:altName w:val="Times New Roman"/>
    <w:panose1 w:val="02020503050405090304"/>
    <w:charset w:val="00"/>
    <w:family w:val="auto"/>
    <w:pitch w:val="default"/>
    <w:sig w:usb0="00000000" w:usb1="00000000" w:usb2="00000001" w:usb3="00000000" w:csb0="400001BF" w:csb1="DFF70000"/>
    <w:embedRegular r:id="rId6" w:fontKey="{69A56F8F-C6D9-4420-9028-797DDFB9C3B6}"/>
  </w:font>
  <w:font w:name="仿宋_GB2312">
    <w:panose1 w:val="02010609030101010101"/>
    <w:charset w:val="86"/>
    <w:family w:val="modern"/>
    <w:pitch w:val="default"/>
    <w:sig w:usb0="00000001" w:usb1="080E0000" w:usb2="00000000" w:usb3="00000000" w:csb0="00040000" w:csb1="00000000"/>
    <w:embedRegular r:id="rId7" w:fontKey="{CA05F4B7-DFDA-4417-BB8D-2378DBB084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527E">
    <w:pPr>
      <w:pStyle w:val="10"/>
      <w:wordWrap w:val="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91F92">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F91F92">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p w14:paraId="4571FEF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75DA9">
    <w:pPr>
      <w:pStyle w:val="10"/>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7C7028E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A4ED">
    <w:pPr>
      <w:pStyle w:val="10"/>
      <w:wordWrap w:val="0"/>
      <w:jc w:val="right"/>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3A3CB">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1D3A3CB">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p w14:paraId="42FAC34F">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7ACB6">
    <w:pPr>
      <w:pStyle w:val="10"/>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688764B5">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EC5E5">
    <w:pPr>
      <w:pStyle w:val="10"/>
      <w:wordWrap w:val="0"/>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47B42">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4B47B42">
                    <w:pPr>
                      <w:pStyle w:val="10"/>
                      <w:wordWrap w:val="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p w14:paraId="0109A028">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B877C">
    <w:pPr>
      <w:pStyle w:val="10"/>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6677DB4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EDEB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245E9">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686C6">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F776A">
    <w:pPr>
      <w:pStyle w:val="11"/>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C561F">
    <w:pPr>
      <w:pStyle w:val="11"/>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E699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4E5E18"/>
    <w:multiLevelType w:val="singleLevel"/>
    <w:tmpl w:val="964E5E18"/>
    <w:lvl w:ilvl="0" w:tentative="0">
      <w:start w:val="1"/>
      <w:numFmt w:val="decimal"/>
      <w:lvlText w:val="%1."/>
      <w:lvlJc w:val="left"/>
      <w:pPr>
        <w:tabs>
          <w:tab w:val="left" w:pos="312"/>
        </w:tabs>
      </w:pPr>
    </w:lvl>
  </w:abstractNum>
  <w:abstractNum w:abstractNumId="1">
    <w:nsid w:val="9751B502"/>
    <w:multiLevelType w:val="singleLevel"/>
    <w:tmpl w:val="9751B502"/>
    <w:lvl w:ilvl="0" w:tentative="0">
      <w:start w:val="1"/>
      <w:numFmt w:val="decimal"/>
      <w:lvlText w:val="%1."/>
      <w:lvlJc w:val="left"/>
      <w:pPr>
        <w:tabs>
          <w:tab w:val="left" w:pos="312"/>
        </w:tabs>
      </w:pPr>
    </w:lvl>
  </w:abstractNum>
  <w:abstractNum w:abstractNumId="2">
    <w:nsid w:val="A33E4955"/>
    <w:multiLevelType w:val="singleLevel"/>
    <w:tmpl w:val="A33E4955"/>
    <w:lvl w:ilvl="0" w:tentative="0">
      <w:start w:val="1"/>
      <w:numFmt w:val="decimal"/>
      <w:lvlText w:val="%1."/>
      <w:lvlJc w:val="left"/>
      <w:pPr>
        <w:tabs>
          <w:tab w:val="left" w:pos="312"/>
        </w:tabs>
      </w:pPr>
    </w:lvl>
  </w:abstractNum>
  <w:abstractNum w:abstractNumId="3">
    <w:nsid w:val="B6C7D894"/>
    <w:multiLevelType w:val="singleLevel"/>
    <w:tmpl w:val="B6C7D894"/>
    <w:lvl w:ilvl="0" w:tentative="0">
      <w:start w:val="1"/>
      <w:numFmt w:val="decimal"/>
      <w:lvlText w:val="%1."/>
      <w:lvlJc w:val="left"/>
      <w:pPr>
        <w:tabs>
          <w:tab w:val="left" w:pos="312"/>
        </w:tabs>
      </w:pPr>
    </w:lvl>
  </w:abstractNum>
  <w:abstractNum w:abstractNumId="4">
    <w:nsid w:val="D5D1D8A1"/>
    <w:multiLevelType w:val="singleLevel"/>
    <w:tmpl w:val="D5D1D8A1"/>
    <w:lvl w:ilvl="0" w:tentative="0">
      <w:start w:val="1"/>
      <w:numFmt w:val="decimal"/>
      <w:lvlText w:val="%1."/>
      <w:lvlJc w:val="left"/>
      <w:pPr>
        <w:tabs>
          <w:tab w:val="left" w:pos="312"/>
        </w:tabs>
      </w:pPr>
    </w:lvl>
  </w:abstractNum>
  <w:abstractNum w:abstractNumId="5">
    <w:nsid w:val="0EC04C61"/>
    <w:multiLevelType w:val="singleLevel"/>
    <w:tmpl w:val="0EC04C61"/>
    <w:lvl w:ilvl="0" w:tentative="0">
      <w:start w:val="1"/>
      <w:numFmt w:val="decimal"/>
      <w:lvlText w:val="%1."/>
      <w:lvlJc w:val="left"/>
      <w:pPr>
        <w:tabs>
          <w:tab w:val="left" w:pos="312"/>
        </w:tabs>
      </w:pPr>
    </w:lvl>
  </w:abstractNum>
  <w:abstractNum w:abstractNumId="6">
    <w:nsid w:val="6165199F"/>
    <w:multiLevelType w:val="singleLevel"/>
    <w:tmpl w:val="6165199F"/>
    <w:lvl w:ilvl="0" w:tentative="0">
      <w:start w:val="5"/>
      <w:numFmt w:val="chineseCounting"/>
      <w:suff w:val="nothing"/>
      <w:lvlText w:val="%1、"/>
      <w:lvlJc w:val="left"/>
      <w:rPr>
        <w:rFonts w:hint="eastAsia"/>
      </w:rPr>
    </w:lvl>
  </w:abstractNum>
  <w:num w:numId="1">
    <w:abstractNumId w:val="6"/>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0"/>
  <w:defaultTabStop w:val="420"/>
  <w:drawingGridHorizontalSpacing w:val="105"/>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yMmI4ZjNmZGU0NWVjZWI3ODMxY2E1ODM3YmJjMTEifQ=="/>
  </w:docVars>
  <w:rsids>
    <w:rsidRoot w:val="00172A27"/>
    <w:rsid w:val="00001367"/>
    <w:rsid w:val="000148CB"/>
    <w:rsid w:val="00017589"/>
    <w:rsid w:val="00022B5B"/>
    <w:rsid w:val="000342A0"/>
    <w:rsid w:val="000450B0"/>
    <w:rsid w:val="00045662"/>
    <w:rsid w:val="00055A9A"/>
    <w:rsid w:val="00057D0B"/>
    <w:rsid w:val="00067F6F"/>
    <w:rsid w:val="000700CD"/>
    <w:rsid w:val="00070512"/>
    <w:rsid w:val="0007505B"/>
    <w:rsid w:val="00081EE2"/>
    <w:rsid w:val="000832AE"/>
    <w:rsid w:val="000A6FA7"/>
    <w:rsid w:val="000B0F30"/>
    <w:rsid w:val="000B6377"/>
    <w:rsid w:val="000E1EA2"/>
    <w:rsid w:val="000E57E7"/>
    <w:rsid w:val="000E7463"/>
    <w:rsid w:val="000F3B70"/>
    <w:rsid w:val="000F3C7E"/>
    <w:rsid w:val="001021C2"/>
    <w:rsid w:val="00103132"/>
    <w:rsid w:val="0010759E"/>
    <w:rsid w:val="00112F78"/>
    <w:rsid w:val="00115D3C"/>
    <w:rsid w:val="0011760F"/>
    <w:rsid w:val="00123E18"/>
    <w:rsid w:val="001315D9"/>
    <w:rsid w:val="0013721A"/>
    <w:rsid w:val="00141728"/>
    <w:rsid w:val="00161EB7"/>
    <w:rsid w:val="00172A27"/>
    <w:rsid w:val="00176010"/>
    <w:rsid w:val="00183D15"/>
    <w:rsid w:val="001862B7"/>
    <w:rsid w:val="001C5397"/>
    <w:rsid w:val="001D1ED7"/>
    <w:rsid w:val="001D342F"/>
    <w:rsid w:val="001D5A80"/>
    <w:rsid w:val="001E0458"/>
    <w:rsid w:val="001E11DA"/>
    <w:rsid w:val="001E5CCD"/>
    <w:rsid w:val="001E6F51"/>
    <w:rsid w:val="001F3ED8"/>
    <w:rsid w:val="001F6C8D"/>
    <w:rsid w:val="002054F0"/>
    <w:rsid w:val="002071C6"/>
    <w:rsid w:val="00214FCE"/>
    <w:rsid w:val="002164A7"/>
    <w:rsid w:val="0022181C"/>
    <w:rsid w:val="0023474D"/>
    <w:rsid w:val="0024322F"/>
    <w:rsid w:val="00243231"/>
    <w:rsid w:val="00254E21"/>
    <w:rsid w:val="0027249C"/>
    <w:rsid w:val="00284A7D"/>
    <w:rsid w:val="002A11E4"/>
    <w:rsid w:val="002B6923"/>
    <w:rsid w:val="002B7E29"/>
    <w:rsid w:val="002C672C"/>
    <w:rsid w:val="003034C3"/>
    <w:rsid w:val="00304677"/>
    <w:rsid w:val="00311D39"/>
    <w:rsid w:val="0031380D"/>
    <w:rsid w:val="00315786"/>
    <w:rsid w:val="00333A2A"/>
    <w:rsid w:val="00346702"/>
    <w:rsid w:val="003525B6"/>
    <w:rsid w:val="00360BE1"/>
    <w:rsid w:val="00362494"/>
    <w:rsid w:val="00374CD7"/>
    <w:rsid w:val="003753D6"/>
    <w:rsid w:val="003779FC"/>
    <w:rsid w:val="00377F41"/>
    <w:rsid w:val="00381040"/>
    <w:rsid w:val="003B78CA"/>
    <w:rsid w:val="003C0CEF"/>
    <w:rsid w:val="003D2D76"/>
    <w:rsid w:val="003D437D"/>
    <w:rsid w:val="003D748C"/>
    <w:rsid w:val="003E16BE"/>
    <w:rsid w:val="003F187B"/>
    <w:rsid w:val="003F379F"/>
    <w:rsid w:val="00401897"/>
    <w:rsid w:val="00406E87"/>
    <w:rsid w:val="00421595"/>
    <w:rsid w:val="00427127"/>
    <w:rsid w:val="004444FD"/>
    <w:rsid w:val="004545AA"/>
    <w:rsid w:val="00457B32"/>
    <w:rsid w:val="0046200C"/>
    <w:rsid w:val="00465EB3"/>
    <w:rsid w:val="0048423C"/>
    <w:rsid w:val="004952E8"/>
    <w:rsid w:val="004E4A5A"/>
    <w:rsid w:val="004E588A"/>
    <w:rsid w:val="004F3C57"/>
    <w:rsid w:val="004F69D8"/>
    <w:rsid w:val="00510659"/>
    <w:rsid w:val="00515C32"/>
    <w:rsid w:val="00525D07"/>
    <w:rsid w:val="00527D14"/>
    <w:rsid w:val="00531255"/>
    <w:rsid w:val="005313AF"/>
    <w:rsid w:val="00577152"/>
    <w:rsid w:val="0059586F"/>
    <w:rsid w:val="005C176E"/>
    <w:rsid w:val="005C2B24"/>
    <w:rsid w:val="005C773D"/>
    <w:rsid w:val="005D45A6"/>
    <w:rsid w:val="005D7B88"/>
    <w:rsid w:val="005E0809"/>
    <w:rsid w:val="005F38DA"/>
    <w:rsid w:val="0062483F"/>
    <w:rsid w:val="0062519B"/>
    <w:rsid w:val="006319C1"/>
    <w:rsid w:val="00643D95"/>
    <w:rsid w:val="00647763"/>
    <w:rsid w:val="00653AA2"/>
    <w:rsid w:val="00660BE0"/>
    <w:rsid w:val="006712C1"/>
    <w:rsid w:val="006805A5"/>
    <w:rsid w:val="006939D4"/>
    <w:rsid w:val="006A6768"/>
    <w:rsid w:val="006C04C1"/>
    <w:rsid w:val="006D0F27"/>
    <w:rsid w:val="006D3114"/>
    <w:rsid w:val="006E4A62"/>
    <w:rsid w:val="006F2928"/>
    <w:rsid w:val="006F69AD"/>
    <w:rsid w:val="007057F8"/>
    <w:rsid w:val="00716942"/>
    <w:rsid w:val="00732078"/>
    <w:rsid w:val="007436CE"/>
    <w:rsid w:val="00756CE6"/>
    <w:rsid w:val="007756C4"/>
    <w:rsid w:val="00776247"/>
    <w:rsid w:val="007815AA"/>
    <w:rsid w:val="007A4133"/>
    <w:rsid w:val="007B70A7"/>
    <w:rsid w:val="007C2748"/>
    <w:rsid w:val="007C5C77"/>
    <w:rsid w:val="007D132C"/>
    <w:rsid w:val="007D21EE"/>
    <w:rsid w:val="007E0F34"/>
    <w:rsid w:val="007F02C4"/>
    <w:rsid w:val="007F714A"/>
    <w:rsid w:val="00801D7E"/>
    <w:rsid w:val="00817A78"/>
    <w:rsid w:val="00827EF4"/>
    <w:rsid w:val="00830813"/>
    <w:rsid w:val="008441AA"/>
    <w:rsid w:val="0084617C"/>
    <w:rsid w:val="008522CD"/>
    <w:rsid w:val="0087196B"/>
    <w:rsid w:val="00872CDC"/>
    <w:rsid w:val="00881BD0"/>
    <w:rsid w:val="008852A0"/>
    <w:rsid w:val="00885B23"/>
    <w:rsid w:val="008966DC"/>
    <w:rsid w:val="008A20AC"/>
    <w:rsid w:val="008B248C"/>
    <w:rsid w:val="008C1A3C"/>
    <w:rsid w:val="008C3B96"/>
    <w:rsid w:val="008C5115"/>
    <w:rsid w:val="008C7690"/>
    <w:rsid w:val="008D43DD"/>
    <w:rsid w:val="008D5EE4"/>
    <w:rsid w:val="008E468F"/>
    <w:rsid w:val="008F6692"/>
    <w:rsid w:val="009011F0"/>
    <w:rsid w:val="009049D8"/>
    <w:rsid w:val="0094532F"/>
    <w:rsid w:val="0094650A"/>
    <w:rsid w:val="009502B1"/>
    <w:rsid w:val="00953F5F"/>
    <w:rsid w:val="00970247"/>
    <w:rsid w:val="00977A57"/>
    <w:rsid w:val="0098388D"/>
    <w:rsid w:val="00994A50"/>
    <w:rsid w:val="009967F0"/>
    <w:rsid w:val="009A4B4D"/>
    <w:rsid w:val="009B704B"/>
    <w:rsid w:val="009C0A65"/>
    <w:rsid w:val="009C40DA"/>
    <w:rsid w:val="009C6C52"/>
    <w:rsid w:val="009F4DC8"/>
    <w:rsid w:val="00A13691"/>
    <w:rsid w:val="00A21D53"/>
    <w:rsid w:val="00A30DBC"/>
    <w:rsid w:val="00A43B3E"/>
    <w:rsid w:val="00A9623D"/>
    <w:rsid w:val="00AC2A7E"/>
    <w:rsid w:val="00AC2F41"/>
    <w:rsid w:val="00AC5B3F"/>
    <w:rsid w:val="00AC6392"/>
    <w:rsid w:val="00AC6C93"/>
    <w:rsid w:val="00AC7A2C"/>
    <w:rsid w:val="00AD5065"/>
    <w:rsid w:val="00AF6F6D"/>
    <w:rsid w:val="00B00BD6"/>
    <w:rsid w:val="00B04EE9"/>
    <w:rsid w:val="00B139DB"/>
    <w:rsid w:val="00B20484"/>
    <w:rsid w:val="00B22DAE"/>
    <w:rsid w:val="00B2541F"/>
    <w:rsid w:val="00B41A6B"/>
    <w:rsid w:val="00B43460"/>
    <w:rsid w:val="00B52D6C"/>
    <w:rsid w:val="00B5592C"/>
    <w:rsid w:val="00B55EF0"/>
    <w:rsid w:val="00B56820"/>
    <w:rsid w:val="00B62EE4"/>
    <w:rsid w:val="00B749FC"/>
    <w:rsid w:val="00B81678"/>
    <w:rsid w:val="00B865EC"/>
    <w:rsid w:val="00B87C88"/>
    <w:rsid w:val="00B90C6C"/>
    <w:rsid w:val="00B92222"/>
    <w:rsid w:val="00B94805"/>
    <w:rsid w:val="00BA0541"/>
    <w:rsid w:val="00BF0F8E"/>
    <w:rsid w:val="00C01667"/>
    <w:rsid w:val="00C018B3"/>
    <w:rsid w:val="00C034B9"/>
    <w:rsid w:val="00C15460"/>
    <w:rsid w:val="00C21B15"/>
    <w:rsid w:val="00C229BD"/>
    <w:rsid w:val="00C22EA7"/>
    <w:rsid w:val="00C41473"/>
    <w:rsid w:val="00C45D3F"/>
    <w:rsid w:val="00C47AB9"/>
    <w:rsid w:val="00C53801"/>
    <w:rsid w:val="00C6064E"/>
    <w:rsid w:val="00C621A8"/>
    <w:rsid w:val="00C667A7"/>
    <w:rsid w:val="00C725A0"/>
    <w:rsid w:val="00C80584"/>
    <w:rsid w:val="00C8191D"/>
    <w:rsid w:val="00C820B6"/>
    <w:rsid w:val="00CA43F8"/>
    <w:rsid w:val="00CA4DEC"/>
    <w:rsid w:val="00CB0171"/>
    <w:rsid w:val="00CB159B"/>
    <w:rsid w:val="00CB5A10"/>
    <w:rsid w:val="00CB7E28"/>
    <w:rsid w:val="00CC282D"/>
    <w:rsid w:val="00CF058C"/>
    <w:rsid w:val="00CF087E"/>
    <w:rsid w:val="00CF3910"/>
    <w:rsid w:val="00CF4967"/>
    <w:rsid w:val="00CF5DA8"/>
    <w:rsid w:val="00D01906"/>
    <w:rsid w:val="00D06934"/>
    <w:rsid w:val="00D06F99"/>
    <w:rsid w:val="00D07134"/>
    <w:rsid w:val="00D167EC"/>
    <w:rsid w:val="00D2079B"/>
    <w:rsid w:val="00D57E84"/>
    <w:rsid w:val="00D6247E"/>
    <w:rsid w:val="00D67A96"/>
    <w:rsid w:val="00D743B5"/>
    <w:rsid w:val="00D87F35"/>
    <w:rsid w:val="00D91EDB"/>
    <w:rsid w:val="00DC1392"/>
    <w:rsid w:val="00DC3709"/>
    <w:rsid w:val="00DD2683"/>
    <w:rsid w:val="00DD6972"/>
    <w:rsid w:val="00DE2B10"/>
    <w:rsid w:val="00DF3BB2"/>
    <w:rsid w:val="00E01027"/>
    <w:rsid w:val="00E0318B"/>
    <w:rsid w:val="00E10DBD"/>
    <w:rsid w:val="00E32437"/>
    <w:rsid w:val="00E4103E"/>
    <w:rsid w:val="00E4509E"/>
    <w:rsid w:val="00E7719D"/>
    <w:rsid w:val="00E81589"/>
    <w:rsid w:val="00E85A9D"/>
    <w:rsid w:val="00E953DB"/>
    <w:rsid w:val="00E97B5C"/>
    <w:rsid w:val="00EA54EC"/>
    <w:rsid w:val="00EB18DD"/>
    <w:rsid w:val="00EC5DF9"/>
    <w:rsid w:val="00F03101"/>
    <w:rsid w:val="00F11CF9"/>
    <w:rsid w:val="00F1548F"/>
    <w:rsid w:val="00F23A6B"/>
    <w:rsid w:val="00F27B20"/>
    <w:rsid w:val="00F35056"/>
    <w:rsid w:val="00F44B47"/>
    <w:rsid w:val="00F61215"/>
    <w:rsid w:val="00F704E9"/>
    <w:rsid w:val="00F72B48"/>
    <w:rsid w:val="00F72CA9"/>
    <w:rsid w:val="00F72FB9"/>
    <w:rsid w:val="00F76FEB"/>
    <w:rsid w:val="00F907CF"/>
    <w:rsid w:val="00F9167D"/>
    <w:rsid w:val="00F95488"/>
    <w:rsid w:val="00FA00CD"/>
    <w:rsid w:val="00FB0136"/>
    <w:rsid w:val="00FC206D"/>
    <w:rsid w:val="00FD3039"/>
    <w:rsid w:val="00FD4F10"/>
    <w:rsid w:val="00FD788D"/>
    <w:rsid w:val="00FE1399"/>
    <w:rsid w:val="00FE60C3"/>
    <w:rsid w:val="00FE7A8F"/>
    <w:rsid w:val="00FF03BD"/>
    <w:rsid w:val="01062EEC"/>
    <w:rsid w:val="010F6DB3"/>
    <w:rsid w:val="01195642"/>
    <w:rsid w:val="01261A8C"/>
    <w:rsid w:val="01293C05"/>
    <w:rsid w:val="01303AC5"/>
    <w:rsid w:val="01341807"/>
    <w:rsid w:val="013C4C9E"/>
    <w:rsid w:val="014A7E1C"/>
    <w:rsid w:val="014F4080"/>
    <w:rsid w:val="015974C0"/>
    <w:rsid w:val="016C71F3"/>
    <w:rsid w:val="017F5714"/>
    <w:rsid w:val="01814321"/>
    <w:rsid w:val="0184241E"/>
    <w:rsid w:val="019E3125"/>
    <w:rsid w:val="01AC5842"/>
    <w:rsid w:val="01AE3368"/>
    <w:rsid w:val="01C506B1"/>
    <w:rsid w:val="01C532E9"/>
    <w:rsid w:val="01CA5CC8"/>
    <w:rsid w:val="01E0373D"/>
    <w:rsid w:val="01E44FDB"/>
    <w:rsid w:val="01EA5051"/>
    <w:rsid w:val="01FB1A92"/>
    <w:rsid w:val="01FD609D"/>
    <w:rsid w:val="020225EC"/>
    <w:rsid w:val="02083BFD"/>
    <w:rsid w:val="02095D48"/>
    <w:rsid w:val="02096F37"/>
    <w:rsid w:val="022C435F"/>
    <w:rsid w:val="024261A6"/>
    <w:rsid w:val="025A529E"/>
    <w:rsid w:val="02691984"/>
    <w:rsid w:val="026E2AF7"/>
    <w:rsid w:val="027822C2"/>
    <w:rsid w:val="027D2D3A"/>
    <w:rsid w:val="02810A7C"/>
    <w:rsid w:val="028265A2"/>
    <w:rsid w:val="02905AD2"/>
    <w:rsid w:val="02922C03"/>
    <w:rsid w:val="02922C89"/>
    <w:rsid w:val="02931780"/>
    <w:rsid w:val="0293255D"/>
    <w:rsid w:val="02943D19"/>
    <w:rsid w:val="02994018"/>
    <w:rsid w:val="02A46519"/>
    <w:rsid w:val="02A957F6"/>
    <w:rsid w:val="02AB3D4B"/>
    <w:rsid w:val="02B0310F"/>
    <w:rsid w:val="02B7449E"/>
    <w:rsid w:val="02CF7A3A"/>
    <w:rsid w:val="02DC3F04"/>
    <w:rsid w:val="02DF39F5"/>
    <w:rsid w:val="02ED1C6E"/>
    <w:rsid w:val="02F07327"/>
    <w:rsid w:val="02F72AEC"/>
    <w:rsid w:val="02F96864"/>
    <w:rsid w:val="030E4DBB"/>
    <w:rsid w:val="03174F3D"/>
    <w:rsid w:val="031C69F7"/>
    <w:rsid w:val="032F5AF0"/>
    <w:rsid w:val="0332621A"/>
    <w:rsid w:val="03337D64"/>
    <w:rsid w:val="03353615"/>
    <w:rsid w:val="03353CBA"/>
    <w:rsid w:val="03465B2E"/>
    <w:rsid w:val="034B38B3"/>
    <w:rsid w:val="034D095E"/>
    <w:rsid w:val="034D7868"/>
    <w:rsid w:val="035B12CD"/>
    <w:rsid w:val="0361265C"/>
    <w:rsid w:val="036861D8"/>
    <w:rsid w:val="036F2FCB"/>
    <w:rsid w:val="038C76D9"/>
    <w:rsid w:val="03912A09"/>
    <w:rsid w:val="03A7507A"/>
    <w:rsid w:val="03AA514B"/>
    <w:rsid w:val="03C03826"/>
    <w:rsid w:val="03CD5B23"/>
    <w:rsid w:val="03CD605F"/>
    <w:rsid w:val="03D42E2E"/>
    <w:rsid w:val="03D8291E"/>
    <w:rsid w:val="03DA79AF"/>
    <w:rsid w:val="03E63A88"/>
    <w:rsid w:val="03E9585B"/>
    <w:rsid w:val="04050691"/>
    <w:rsid w:val="0405071D"/>
    <w:rsid w:val="0409772B"/>
    <w:rsid w:val="040B612B"/>
    <w:rsid w:val="04181532"/>
    <w:rsid w:val="041B280B"/>
    <w:rsid w:val="041F054D"/>
    <w:rsid w:val="04212517"/>
    <w:rsid w:val="04247911"/>
    <w:rsid w:val="042A0CA0"/>
    <w:rsid w:val="04316146"/>
    <w:rsid w:val="04384A3C"/>
    <w:rsid w:val="043D626D"/>
    <w:rsid w:val="04477D53"/>
    <w:rsid w:val="04561A95"/>
    <w:rsid w:val="045F408F"/>
    <w:rsid w:val="04637B4D"/>
    <w:rsid w:val="0466617C"/>
    <w:rsid w:val="046D1AF7"/>
    <w:rsid w:val="04842AA6"/>
    <w:rsid w:val="049A4077"/>
    <w:rsid w:val="049F4F72"/>
    <w:rsid w:val="04A46CA4"/>
    <w:rsid w:val="04B844FD"/>
    <w:rsid w:val="04C66C1A"/>
    <w:rsid w:val="04C94D43"/>
    <w:rsid w:val="04D61A2A"/>
    <w:rsid w:val="04D74983"/>
    <w:rsid w:val="04D806FC"/>
    <w:rsid w:val="04F15D59"/>
    <w:rsid w:val="050722F0"/>
    <w:rsid w:val="05080FE1"/>
    <w:rsid w:val="05091A55"/>
    <w:rsid w:val="05107E95"/>
    <w:rsid w:val="051A0D14"/>
    <w:rsid w:val="051F4579"/>
    <w:rsid w:val="052C0B14"/>
    <w:rsid w:val="0530678A"/>
    <w:rsid w:val="05322790"/>
    <w:rsid w:val="05404C1F"/>
    <w:rsid w:val="054A64C4"/>
    <w:rsid w:val="054B5371"/>
    <w:rsid w:val="054C2DCF"/>
    <w:rsid w:val="055A55AC"/>
    <w:rsid w:val="055E6E53"/>
    <w:rsid w:val="05654685"/>
    <w:rsid w:val="056A1C9B"/>
    <w:rsid w:val="05726DA2"/>
    <w:rsid w:val="057C19CF"/>
    <w:rsid w:val="057C377D"/>
    <w:rsid w:val="059211F2"/>
    <w:rsid w:val="05922FA0"/>
    <w:rsid w:val="05976809"/>
    <w:rsid w:val="05A473F7"/>
    <w:rsid w:val="05A56137"/>
    <w:rsid w:val="05B5305B"/>
    <w:rsid w:val="05B82AAB"/>
    <w:rsid w:val="05C72E67"/>
    <w:rsid w:val="05CD3FD8"/>
    <w:rsid w:val="05CD51BC"/>
    <w:rsid w:val="05CE06E8"/>
    <w:rsid w:val="05E7509A"/>
    <w:rsid w:val="05EA6938"/>
    <w:rsid w:val="05F477B7"/>
    <w:rsid w:val="0602059A"/>
    <w:rsid w:val="06085010"/>
    <w:rsid w:val="062A4F87"/>
    <w:rsid w:val="064A387B"/>
    <w:rsid w:val="06534331"/>
    <w:rsid w:val="06585F98"/>
    <w:rsid w:val="065D4B8D"/>
    <w:rsid w:val="066A1827"/>
    <w:rsid w:val="066D039B"/>
    <w:rsid w:val="06710E08"/>
    <w:rsid w:val="067C28F8"/>
    <w:rsid w:val="067D155B"/>
    <w:rsid w:val="06840B3B"/>
    <w:rsid w:val="069A01B7"/>
    <w:rsid w:val="06BD2BEF"/>
    <w:rsid w:val="06BF3FA4"/>
    <w:rsid w:val="06D32584"/>
    <w:rsid w:val="06E8731C"/>
    <w:rsid w:val="07047ECE"/>
    <w:rsid w:val="070659F4"/>
    <w:rsid w:val="070A50DF"/>
    <w:rsid w:val="07145A92"/>
    <w:rsid w:val="071C5C86"/>
    <w:rsid w:val="071D689A"/>
    <w:rsid w:val="072E0AA7"/>
    <w:rsid w:val="07351E35"/>
    <w:rsid w:val="074B78AB"/>
    <w:rsid w:val="074F5F66"/>
    <w:rsid w:val="07596623"/>
    <w:rsid w:val="075D0E46"/>
    <w:rsid w:val="076444C8"/>
    <w:rsid w:val="07723089"/>
    <w:rsid w:val="07794418"/>
    <w:rsid w:val="07833139"/>
    <w:rsid w:val="07930597"/>
    <w:rsid w:val="07943000"/>
    <w:rsid w:val="079528D4"/>
    <w:rsid w:val="0798325D"/>
    <w:rsid w:val="07AB20F7"/>
    <w:rsid w:val="07BE5732"/>
    <w:rsid w:val="07BF505C"/>
    <w:rsid w:val="07CD4764"/>
    <w:rsid w:val="07CD79EE"/>
    <w:rsid w:val="07CF4038"/>
    <w:rsid w:val="07D0646C"/>
    <w:rsid w:val="07D20C92"/>
    <w:rsid w:val="07E37AE3"/>
    <w:rsid w:val="07E8637B"/>
    <w:rsid w:val="07FE2B6F"/>
    <w:rsid w:val="08032417"/>
    <w:rsid w:val="08163A15"/>
    <w:rsid w:val="082A780B"/>
    <w:rsid w:val="08422A5C"/>
    <w:rsid w:val="084A7B62"/>
    <w:rsid w:val="08745CDD"/>
    <w:rsid w:val="08757E1C"/>
    <w:rsid w:val="0880536B"/>
    <w:rsid w:val="08811C5D"/>
    <w:rsid w:val="0889068B"/>
    <w:rsid w:val="08966904"/>
    <w:rsid w:val="08983B75"/>
    <w:rsid w:val="08AF5C17"/>
    <w:rsid w:val="08B31D10"/>
    <w:rsid w:val="08BD778E"/>
    <w:rsid w:val="08C94F2B"/>
    <w:rsid w:val="08CB0CA3"/>
    <w:rsid w:val="08DD2784"/>
    <w:rsid w:val="08DD4532"/>
    <w:rsid w:val="08E92ED7"/>
    <w:rsid w:val="08F10DED"/>
    <w:rsid w:val="08FB2C0B"/>
    <w:rsid w:val="09064339"/>
    <w:rsid w:val="09314338"/>
    <w:rsid w:val="09403496"/>
    <w:rsid w:val="094E5430"/>
    <w:rsid w:val="09547FE3"/>
    <w:rsid w:val="09556B95"/>
    <w:rsid w:val="095962AF"/>
    <w:rsid w:val="096D7D04"/>
    <w:rsid w:val="09736C45"/>
    <w:rsid w:val="097529BD"/>
    <w:rsid w:val="098A290C"/>
    <w:rsid w:val="099A5C14"/>
    <w:rsid w:val="09AF4121"/>
    <w:rsid w:val="09B434E5"/>
    <w:rsid w:val="09C64207"/>
    <w:rsid w:val="09CA2D09"/>
    <w:rsid w:val="09D55C54"/>
    <w:rsid w:val="09D61721"/>
    <w:rsid w:val="09E85885"/>
    <w:rsid w:val="09ED4C49"/>
    <w:rsid w:val="09EF09C1"/>
    <w:rsid w:val="09FF7D8F"/>
    <w:rsid w:val="0A03446D"/>
    <w:rsid w:val="0A1102E2"/>
    <w:rsid w:val="0A122902"/>
    <w:rsid w:val="0A12656B"/>
    <w:rsid w:val="0A252635"/>
    <w:rsid w:val="0A377206"/>
    <w:rsid w:val="0A37722E"/>
    <w:rsid w:val="0A4A3E4A"/>
    <w:rsid w:val="0A5922DF"/>
    <w:rsid w:val="0A5D1DCF"/>
    <w:rsid w:val="0A5E519A"/>
    <w:rsid w:val="0A693121"/>
    <w:rsid w:val="0A7947E6"/>
    <w:rsid w:val="0A7B2255"/>
    <w:rsid w:val="0A9D11AB"/>
    <w:rsid w:val="0AA25A34"/>
    <w:rsid w:val="0AA479FE"/>
    <w:rsid w:val="0AAB0D8C"/>
    <w:rsid w:val="0AAE2130"/>
    <w:rsid w:val="0AB063A2"/>
    <w:rsid w:val="0ABE230D"/>
    <w:rsid w:val="0ABE495C"/>
    <w:rsid w:val="0AC57974"/>
    <w:rsid w:val="0AD025A1"/>
    <w:rsid w:val="0AE04FBF"/>
    <w:rsid w:val="0AF10769"/>
    <w:rsid w:val="0AF12517"/>
    <w:rsid w:val="0B043FF8"/>
    <w:rsid w:val="0B073AE9"/>
    <w:rsid w:val="0B077F8D"/>
    <w:rsid w:val="0B081B90"/>
    <w:rsid w:val="0B282BC9"/>
    <w:rsid w:val="0B3337B3"/>
    <w:rsid w:val="0B36617C"/>
    <w:rsid w:val="0B372620"/>
    <w:rsid w:val="0B436BBC"/>
    <w:rsid w:val="0B446AEB"/>
    <w:rsid w:val="0B4E5BBB"/>
    <w:rsid w:val="0B6719E5"/>
    <w:rsid w:val="0B6C30F1"/>
    <w:rsid w:val="0B7517F7"/>
    <w:rsid w:val="0B7A250D"/>
    <w:rsid w:val="0B867103"/>
    <w:rsid w:val="0B8D770B"/>
    <w:rsid w:val="0B907F82"/>
    <w:rsid w:val="0B971310"/>
    <w:rsid w:val="0B9D06F5"/>
    <w:rsid w:val="0BA43B29"/>
    <w:rsid w:val="0BC66A92"/>
    <w:rsid w:val="0BEF4195"/>
    <w:rsid w:val="0BF4406D"/>
    <w:rsid w:val="0BFC5617"/>
    <w:rsid w:val="0C0E7E79"/>
    <w:rsid w:val="0C0F64CB"/>
    <w:rsid w:val="0C243AB5"/>
    <w:rsid w:val="0C277E8E"/>
    <w:rsid w:val="0C2D2898"/>
    <w:rsid w:val="0C347916"/>
    <w:rsid w:val="0C4548C9"/>
    <w:rsid w:val="0C497F29"/>
    <w:rsid w:val="0C5E130F"/>
    <w:rsid w:val="0C670CE3"/>
    <w:rsid w:val="0C6A19F4"/>
    <w:rsid w:val="0C7C7FF7"/>
    <w:rsid w:val="0C8F646D"/>
    <w:rsid w:val="0C943AA2"/>
    <w:rsid w:val="0CBF6295"/>
    <w:rsid w:val="0CC31C91"/>
    <w:rsid w:val="0CDA7E69"/>
    <w:rsid w:val="0CDB522D"/>
    <w:rsid w:val="0CE340E1"/>
    <w:rsid w:val="0CE916F8"/>
    <w:rsid w:val="0CEA2936"/>
    <w:rsid w:val="0CEF2A86"/>
    <w:rsid w:val="0CF307C8"/>
    <w:rsid w:val="0CF74077"/>
    <w:rsid w:val="0CF85DDF"/>
    <w:rsid w:val="0CF87B8D"/>
    <w:rsid w:val="0CFE7A7C"/>
    <w:rsid w:val="0D026967"/>
    <w:rsid w:val="0D054058"/>
    <w:rsid w:val="0D0B5B12"/>
    <w:rsid w:val="0D0C188A"/>
    <w:rsid w:val="0D101598"/>
    <w:rsid w:val="0D110C4F"/>
    <w:rsid w:val="0D134413"/>
    <w:rsid w:val="0D2564A8"/>
    <w:rsid w:val="0D28370C"/>
    <w:rsid w:val="0D29243C"/>
    <w:rsid w:val="0D38442D"/>
    <w:rsid w:val="0D386193"/>
    <w:rsid w:val="0D4839CF"/>
    <w:rsid w:val="0D4C4F6A"/>
    <w:rsid w:val="0D4F3654"/>
    <w:rsid w:val="0D6117A6"/>
    <w:rsid w:val="0D673C4C"/>
    <w:rsid w:val="0D913B3D"/>
    <w:rsid w:val="0DA111E6"/>
    <w:rsid w:val="0DA16476"/>
    <w:rsid w:val="0DA80FAA"/>
    <w:rsid w:val="0DB51DAB"/>
    <w:rsid w:val="0DC16A76"/>
    <w:rsid w:val="0DC7755F"/>
    <w:rsid w:val="0DEF3128"/>
    <w:rsid w:val="0DFE522F"/>
    <w:rsid w:val="0E010CC3"/>
    <w:rsid w:val="0E0B0603"/>
    <w:rsid w:val="0E15476E"/>
    <w:rsid w:val="0E2350DD"/>
    <w:rsid w:val="0E377358"/>
    <w:rsid w:val="0E5C02D2"/>
    <w:rsid w:val="0E5E71C7"/>
    <w:rsid w:val="0E611573"/>
    <w:rsid w:val="0E644A75"/>
    <w:rsid w:val="0E65470A"/>
    <w:rsid w:val="0E671181"/>
    <w:rsid w:val="0E6C0832"/>
    <w:rsid w:val="0E6F097A"/>
    <w:rsid w:val="0E76625E"/>
    <w:rsid w:val="0E77198B"/>
    <w:rsid w:val="0E7D2A40"/>
    <w:rsid w:val="0E927B6D"/>
    <w:rsid w:val="0EA77ABC"/>
    <w:rsid w:val="0EB36461"/>
    <w:rsid w:val="0EC211BA"/>
    <w:rsid w:val="0ECE1FF2"/>
    <w:rsid w:val="0ECE78A9"/>
    <w:rsid w:val="0ED71034"/>
    <w:rsid w:val="0EE84A1D"/>
    <w:rsid w:val="0EF425D6"/>
    <w:rsid w:val="0EFB4F24"/>
    <w:rsid w:val="0F026AA1"/>
    <w:rsid w:val="0F124CA4"/>
    <w:rsid w:val="0F144A26"/>
    <w:rsid w:val="0F1F3AF7"/>
    <w:rsid w:val="0F2D6C15"/>
    <w:rsid w:val="0F2E6C95"/>
    <w:rsid w:val="0F382A4E"/>
    <w:rsid w:val="0F39623B"/>
    <w:rsid w:val="0F5117D6"/>
    <w:rsid w:val="0F5C08A7"/>
    <w:rsid w:val="0F5C3CDC"/>
    <w:rsid w:val="0F63279F"/>
    <w:rsid w:val="0F6A6EFB"/>
    <w:rsid w:val="0F781459"/>
    <w:rsid w:val="0F7E7485"/>
    <w:rsid w:val="0F953DB9"/>
    <w:rsid w:val="0F977B31"/>
    <w:rsid w:val="0F9A4F2B"/>
    <w:rsid w:val="0FB83603"/>
    <w:rsid w:val="0FBA381F"/>
    <w:rsid w:val="0FBF64FF"/>
    <w:rsid w:val="0FD07183"/>
    <w:rsid w:val="0FDE17AA"/>
    <w:rsid w:val="0FE91A0F"/>
    <w:rsid w:val="0FF02D9D"/>
    <w:rsid w:val="0FFA3C1C"/>
    <w:rsid w:val="0FFE1D4D"/>
    <w:rsid w:val="10032FEE"/>
    <w:rsid w:val="100A27E6"/>
    <w:rsid w:val="102D5D9F"/>
    <w:rsid w:val="102F204A"/>
    <w:rsid w:val="1036740B"/>
    <w:rsid w:val="10392996"/>
    <w:rsid w:val="103A670E"/>
    <w:rsid w:val="1045133B"/>
    <w:rsid w:val="105477D0"/>
    <w:rsid w:val="10680233"/>
    <w:rsid w:val="10741C20"/>
    <w:rsid w:val="107B4D5D"/>
    <w:rsid w:val="10863702"/>
    <w:rsid w:val="108D4A90"/>
    <w:rsid w:val="10A2678D"/>
    <w:rsid w:val="10AB4F16"/>
    <w:rsid w:val="10AE28AC"/>
    <w:rsid w:val="10B4026F"/>
    <w:rsid w:val="10B6635D"/>
    <w:rsid w:val="10B71B0D"/>
    <w:rsid w:val="10B93F78"/>
    <w:rsid w:val="10C67BD8"/>
    <w:rsid w:val="10D14BEA"/>
    <w:rsid w:val="10D64689"/>
    <w:rsid w:val="10D8245D"/>
    <w:rsid w:val="10E25268"/>
    <w:rsid w:val="10E62DCA"/>
    <w:rsid w:val="10EE19D3"/>
    <w:rsid w:val="10F845FF"/>
    <w:rsid w:val="110416CA"/>
    <w:rsid w:val="110C0813"/>
    <w:rsid w:val="111123B1"/>
    <w:rsid w:val="111451B1"/>
    <w:rsid w:val="112846E5"/>
    <w:rsid w:val="112D6828"/>
    <w:rsid w:val="1131366D"/>
    <w:rsid w:val="11340E0C"/>
    <w:rsid w:val="116021A5"/>
    <w:rsid w:val="11660CBD"/>
    <w:rsid w:val="11687684"/>
    <w:rsid w:val="11691059"/>
    <w:rsid w:val="116A6B7F"/>
    <w:rsid w:val="116E6670"/>
    <w:rsid w:val="116F12D7"/>
    <w:rsid w:val="116F4196"/>
    <w:rsid w:val="11716160"/>
    <w:rsid w:val="117345B2"/>
    <w:rsid w:val="11736136"/>
    <w:rsid w:val="117A6D4A"/>
    <w:rsid w:val="118253BD"/>
    <w:rsid w:val="11847C41"/>
    <w:rsid w:val="118F0032"/>
    <w:rsid w:val="119A0D13"/>
    <w:rsid w:val="11A86ACC"/>
    <w:rsid w:val="11A958FA"/>
    <w:rsid w:val="11AC0F46"/>
    <w:rsid w:val="11C36E4C"/>
    <w:rsid w:val="11DA5AB3"/>
    <w:rsid w:val="11DF317C"/>
    <w:rsid w:val="11E13BB2"/>
    <w:rsid w:val="11EC3A38"/>
    <w:rsid w:val="11ED1D4F"/>
    <w:rsid w:val="11F74311"/>
    <w:rsid w:val="11FF376C"/>
    <w:rsid w:val="12000EBE"/>
    <w:rsid w:val="12011292"/>
    <w:rsid w:val="12061235"/>
    <w:rsid w:val="12174F59"/>
    <w:rsid w:val="121B5D32"/>
    <w:rsid w:val="1222745A"/>
    <w:rsid w:val="122A0F7A"/>
    <w:rsid w:val="12307DC9"/>
    <w:rsid w:val="123A567C"/>
    <w:rsid w:val="126857B5"/>
    <w:rsid w:val="126D2DCB"/>
    <w:rsid w:val="1279351E"/>
    <w:rsid w:val="127961AB"/>
    <w:rsid w:val="127B0C68"/>
    <w:rsid w:val="128E689D"/>
    <w:rsid w:val="12962A8F"/>
    <w:rsid w:val="12B66520"/>
    <w:rsid w:val="12C10A21"/>
    <w:rsid w:val="12C86FB6"/>
    <w:rsid w:val="12CC7AF2"/>
    <w:rsid w:val="12D60970"/>
    <w:rsid w:val="12DB5F87"/>
    <w:rsid w:val="12DC3213"/>
    <w:rsid w:val="12DD1CFF"/>
    <w:rsid w:val="12E0534B"/>
    <w:rsid w:val="12E23E98"/>
    <w:rsid w:val="12E4695E"/>
    <w:rsid w:val="12EA20FD"/>
    <w:rsid w:val="12EB3CF0"/>
    <w:rsid w:val="12F03A5A"/>
    <w:rsid w:val="12F40DF6"/>
    <w:rsid w:val="12F4544C"/>
    <w:rsid w:val="12F928B1"/>
    <w:rsid w:val="12FC7CAB"/>
    <w:rsid w:val="130D1EB8"/>
    <w:rsid w:val="1312127D"/>
    <w:rsid w:val="13263D72"/>
    <w:rsid w:val="132D4308"/>
    <w:rsid w:val="1337424A"/>
    <w:rsid w:val="133F395A"/>
    <w:rsid w:val="13491142"/>
    <w:rsid w:val="13645F7C"/>
    <w:rsid w:val="1376180B"/>
    <w:rsid w:val="137D5290"/>
    <w:rsid w:val="137F4B64"/>
    <w:rsid w:val="138228A6"/>
    <w:rsid w:val="138F0B1F"/>
    <w:rsid w:val="13960100"/>
    <w:rsid w:val="139B74C4"/>
    <w:rsid w:val="13AB4079"/>
    <w:rsid w:val="13B439FF"/>
    <w:rsid w:val="13B642FE"/>
    <w:rsid w:val="13C24080"/>
    <w:rsid w:val="13C908A8"/>
    <w:rsid w:val="13CC58CF"/>
    <w:rsid w:val="13D1738A"/>
    <w:rsid w:val="13DC1FB6"/>
    <w:rsid w:val="13E72709"/>
    <w:rsid w:val="13E9022F"/>
    <w:rsid w:val="13EE3A59"/>
    <w:rsid w:val="13FA6AA2"/>
    <w:rsid w:val="13FD488D"/>
    <w:rsid w:val="13FF79A6"/>
    <w:rsid w:val="140432BB"/>
    <w:rsid w:val="14045069"/>
    <w:rsid w:val="14067033"/>
    <w:rsid w:val="14101C60"/>
    <w:rsid w:val="141A2ADF"/>
    <w:rsid w:val="14223F4E"/>
    <w:rsid w:val="142B6A9A"/>
    <w:rsid w:val="143976AE"/>
    <w:rsid w:val="143F2545"/>
    <w:rsid w:val="144359AC"/>
    <w:rsid w:val="14445DAD"/>
    <w:rsid w:val="145558C5"/>
    <w:rsid w:val="145F4995"/>
    <w:rsid w:val="146F2E2A"/>
    <w:rsid w:val="147C72F5"/>
    <w:rsid w:val="1481691C"/>
    <w:rsid w:val="14A53CE6"/>
    <w:rsid w:val="14AD74AF"/>
    <w:rsid w:val="14AF1479"/>
    <w:rsid w:val="14CF1B1B"/>
    <w:rsid w:val="14E90ABD"/>
    <w:rsid w:val="14EC25C7"/>
    <w:rsid w:val="14EF3F6B"/>
    <w:rsid w:val="14F94DB2"/>
    <w:rsid w:val="14FB646C"/>
    <w:rsid w:val="150A4D1B"/>
    <w:rsid w:val="1511034B"/>
    <w:rsid w:val="151D58F3"/>
    <w:rsid w:val="152629CC"/>
    <w:rsid w:val="15270BBD"/>
    <w:rsid w:val="152E4A94"/>
    <w:rsid w:val="15313735"/>
    <w:rsid w:val="1534372C"/>
    <w:rsid w:val="15474D46"/>
    <w:rsid w:val="15545B7C"/>
    <w:rsid w:val="1557566D"/>
    <w:rsid w:val="15584704"/>
    <w:rsid w:val="15621F3B"/>
    <w:rsid w:val="15632263"/>
    <w:rsid w:val="156404B5"/>
    <w:rsid w:val="15657D89"/>
    <w:rsid w:val="15673B02"/>
    <w:rsid w:val="156D4E90"/>
    <w:rsid w:val="157F5F94"/>
    <w:rsid w:val="15826B8D"/>
    <w:rsid w:val="158F6316"/>
    <w:rsid w:val="15A94E95"/>
    <w:rsid w:val="15BB209F"/>
    <w:rsid w:val="15C42D02"/>
    <w:rsid w:val="15C56A7A"/>
    <w:rsid w:val="15D45C9E"/>
    <w:rsid w:val="15DA0777"/>
    <w:rsid w:val="15DD5B72"/>
    <w:rsid w:val="15EA50C6"/>
    <w:rsid w:val="15EF3AF7"/>
    <w:rsid w:val="16014658"/>
    <w:rsid w:val="16211750"/>
    <w:rsid w:val="162163A6"/>
    <w:rsid w:val="1623366B"/>
    <w:rsid w:val="1626576B"/>
    <w:rsid w:val="162E2871"/>
    <w:rsid w:val="16314110"/>
    <w:rsid w:val="164D0F49"/>
    <w:rsid w:val="164D5ECE"/>
    <w:rsid w:val="164E4CDB"/>
    <w:rsid w:val="16516019"/>
    <w:rsid w:val="16577ACB"/>
    <w:rsid w:val="165F0C7D"/>
    <w:rsid w:val="16777D74"/>
    <w:rsid w:val="167955EC"/>
    <w:rsid w:val="1685035C"/>
    <w:rsid w:val="1686445B"/>
    <w:rsid w:val="16866209"/>
    <w:rsid w:val="16A20B69"/>
    <w:rsid w:val="16B079F9"/>
    <w:rsid w:val="16B42428"/>
    <w:rsid w:val="16BC6358"/>
    <w:rsid w:val="16D57191"/>
    <w:rsid w:val="16E6314C"/>
    <w:rsid w:val="17081314"/>
    <w:rsid w:val="1716227E"/>
    <w:rsid w:val="171C091C"/>
    <w:rsid w:val="17253C74"/>
    <w:rsid w:val="172A4DE7"/>
    <w:rsid w:val="175005C5"/>
    <w:rsid w:val="17544B1E"/>
    <w:rsid w:val="175E2CE2"/>
    <w:rsid w:val="176C7287"/>
    <w:rsid w:val="176D5A98"/>
    <w:rsid w:val="1770202B"/>
    <w:rsid w:val="1776627E"/>
    <w:rsid w:val="177C340D"/>
    <w:rsid w:val="17854713"/>
    <w:rsid w:val="178573E1"/>
    <w:rsid w:val="17920BDE"/>
    <w:rsid w:val="179C4521"/>
    <w:rsid w:val="179D1A5D"/>
    <w:rsid w:val="17B86896"/>
    <w:rsid w:val="17CC40F0"/>
    <w:rsid w:val="17E07B9B"/>
    <w:rsid w:val="17E31439"/>
    <w:rsid w:val="17F11DA8"/>
    <w:rsid w:val="17F3638A"/>
    <w:rsid w:val="17F453F5"/>
    <w:rsid w:val="17FB49D5"/>
    <w:rsid w:val="17FF6273"/>
    <w:rsid w:val="18085DDD"/>
    <w:rsid w:val="180A2E6A"/>
    <w:rsid w:val="180B1639"/>
    <w:rsid w:val="180C6E7B"/>
    <w:rsid w:val="18133ACD"/>
    <w:rsid w:val="181B1F72"/>
    <w:rsid w:val="18277578"/>
    <w:rsid w:val="183F0D66"/>
    <w:rsid w:val="1840063A"/>
    <w:rsid w:val="18417EE7"/>
    <w:rsid w:val="18504D21"/>
    <w:rsid w:val="18565113"/>
    <w:rsid w:val="185D2F9A"/>
    <w:rsid w:val="185F3DA2"/>
    <w:rsid w:val="18616F2E"/>
    <w:rsid w:val="18636A0E"/>
    <w:rsid w:val="18664544"/>
    <w:rsid w:val="186C72CE"/>
    <w:rsid w:val="18707171"/>
    <w:rsid w:val="18742A75"/>
    <w:rsid w:val="187A28C7"/>
    <w:rsid w:val="187C78C4"/>
    <w:rsid w:val="18816488"/>
    <w:rsid w:val="18934C0E"/>
    <w:rsid w:val="18952734"/>
    <w:rsid w:val="18A24E51"/>
    <w:rsid w:val="18A312F5"/>
    <w:rsid w:val="18B708FC"/>
    <w:rsid w:val="18B83CF9"/>
    <w:rsid w:val="18C2797C"/>
    <w:rsid w:val="18C3601B"/>
    <w:rsid w:val="18C43019"/>
    <w:rsid w:val="18CE5F1F"/>
    <w:rsid w:val="18DC5086"/>
    <w:rsid w:val="18E0073C"/>
    <w:rsid w:val="18E75B93"/>
    <w:rsid w:val="18E90CD1"/>
    <w:rsid w:val="18EB4A4A"/>
    <w:rsid w:val="18ED431E"/>
    <w:rsid w:val="18EE0096"/>
    <w:rsid w:val="18F465E3"/>
    <w:rsid w:val="19182ACB"/>
    <w:rsid w:val="192E03A5"/>
    <w:rsid w:val="193C1397"/>
    <w:rsid w:val="19434886"/>
    <w:rsid w:val="19516372"/>
    <w:rsid w:val="195E033A"/>
    <w:rsid w:val="1960646A"/>
    <w:rsid w:val="19681049"/>
    <w:rsid w:val="19681569"/>
    <w:rsid w:val="19714E71"/>
    <w:rsid w:val="1977008B"/>
    <w:rsid w:val="19772DE4"/>
    <w:rsid w:val="19805192"/>
    <w:rsid w:val="19831126"/>
    <w:rsid w:val="198527A8"/>
    <w:rsid w:val="19875BF4"/>
    <w:rsid w:val="198A4513"/>
    <w:rsid w:val="1990114D"/>
    <w:rsid w:val="19923117"/>
    <w:rsid w:val="199D44A8"/>
    <w:rsid w:val="199F74A2"/>
    <w:rsid w:val="19A96D61"/>
    <w:rsid w:val="19AF1F1B"/>
    <w:rsid w:val="19B23720"/>
    <w:rsid w:val="19C32801"/>
    <w:rsid w:val="19CE163C"/>
    <w:rsid w:val="19D35C0A"/>
    <w:rsid w:val="19D76D7C"/>
    <w:rsid w:val="19DB4ABE"/>
    <w:rsid w:val="19E35721"/>
    <w:rsid w:val="19FD5FC6"/>
    <w:rsid w:val="1A0F6516"/>
    <w:rsid w:val="1A271AB1"/>
    <w:rsid w:val="1A304E0A"/>
    <w:rsid w:val="1A3F329F"/>
    <w:rsid w:val="1A424DED"/>
    <w:rsid w:val="1A442A69"/>
    <w:rsid w:val="1A4B1C44"/>
    <w:rsid w:val="1A5F124B"/>
    <w:rsid w:val="1A6E148E"/>
    <w:rsid w:val="1A6E52C9"/>
    <w:rsid w:val="1A8A7F67"/>
    <w:rsid w:val="1A8D5661"/>
    <w:rsid w:val="1A8F1A17"/>
    <w:rsid w:val="1A930EF5"/>
    <w:rsid w:val="1AA03612"/>
    <w:rsid w:val="1AA255DC"/>
    <w:rsid w:val="1AA749A0"/>
    <w:rsid w:val="1AAA1F45"/>
    <w:rsid w:val="1AAA2986"/>
    <w:rsid w:val="1AAC0209"/>
    <w:rsid w:val="1AB2245D"/>
    <w:rsid w:val="1AB62E35"/>
    <w:rsid w:val="1ABE22CB"/>
    <w:rsid w:val="1AC76DF0"/>
    <w:rsid w:val="1ACB41A7"/>
    <w:rsid w:val="1ACE4623"/>
    <w:rsid w:val="1AD10DB0"/>
    <w:rsid w:val="1AD22B65"/>
    <w:rsid w:val="1AD35795"/>
    <w:rsid w:val="1AE41750"/>
    <w:rsid w:val="1AE9320B"/>
    <w:rsid w:val="1AEF6A73"/>
    <w:rsid w:val="1B010554"/>
    <w:rsid w:val="1B012302"/>
    <w:rsid w:val="1B027F11"/>
    <w:rsid w:val="1B18764C"/>
    <w:rsid w:val="1B3C158C"/>
    <w:rsid w:val="1B430B6D"/>
    <w:rsid w:val="1B4950A4"/>
    <w:rsid w:val="1B4A3DD6"/>
    <w:rsid w:val="1B4D5548"/>
    <w:rsid w:val="1B4F12C0"/>
    <w:rsid w:val="1B663E35"/>
    <w:rsid w:val="1B677E47"/>
    <w:rsid w:val="1B6D1746"/>
    <w:rsid w:val="1B7A5C97"/>
    <w:rsid w:val="1B7B0307"/>
    <w:rsid w:val="1B990B12"/>
    <w:rsid w:val="1B9C3C37"/>
    <w:rsid w:val="1BAF1D5E"/>
    <w:rsid w:val="1BB92BDD"/>
    <w:rsid w:val="1BD9327F"/>
    <w:rsid w:val="1BDB6FF7"/>
    <w:rsid w:val="1BDD2D6F"/>
    <w:rsid w:val="1BDE3DEC"/>
    <w:rsid w:val="1BE37C5A"/>
    <w:rsid w:val="1BFB0F3C"/>
    <w:rsid w:val="1BFC2ACA"/>
    <w:rsid w:val="1C057BD0"/>
    <w:rsid w:val="1C0B7651"/>
    <w:rsid w:val="1C0E117B"/>
    <w:rsid w:val="1C197B20"/>
    <w:rsid w:val="1C281B11"/>
    <w:rsid w:val="1C2A14B7"/>
    <w:rsid w:val="1C32376F"/>
    <w:rsid w:val="1C395ACC"/>
    <w:rsid w:val="1C3E30E2"/>
    <w:rsid w:val="1C4814E4"/>
    <w:rsid w:val="1C485D0F"/>
    <w:rsid w:val="1C4A7CD9"/>
    <w:rsid w:val="1C4F65C7"/>
    <w:rsid w:val="1C536B8E"/>
    <w:rsid w:val="1C60574F"/>
    <w:rsid w:val="1C7928E8"/>
    <w:rsid w:val="1C821221"/>
    <w:rsid w:val="1C8E7BC6"/>
    <w:rsid w:val="1C9B0896"/>
    <w:rsid w:val="1C9B1C69"/>
    <w:rsid w:val="1C9E3BBC"/>
    <w:rsid w:val="1CAB4C1C"/>
    <w:rsid w:val="1CC31703"/>
    <w:rsid w:val="1CC655B2"/>
    <w:rsid w:val="1CC96E50"/>
    <w:rsid w:val="1CDC1BD7"/>
    <w:rsid w:val="1CE617B0"/>
    <w:rsid w:val="1CE912A0"/>
    <w:rsid w:val="1CEB6DC6"/>
    <w:rsid w:val="1CFD2F9D"/>
    <w:rsid w:val="1CFE1CD3"/>
    <w:rsid w:val="1D046798"/>
    <w:rsid w:val="1D1A5953"/>
    <w:rsid w:val="1D1C05CD"/>
    <w:rsid w:val="1D1D0F4A"/>
    <w:rsid w:val="1D1F4CC2"/>
    <w:rsid w:val="1D210A3A"/>
    <w:rsid w:val="1D2624F4"/>
    <w:rsid w:val="1D2B18B9"/>
    <w:rsid w:val="1D306ECF"/>
    <w:rsid w:val="1D320E99"/>
    <w:rsid w:val="1D360422"/>
    <w:rsid w:val="1D457387"/>
    <w:rsid w:val="1D5030CD"/>
    <w:rsid w:val="1D514663"/>
    <w:rsid w:val="1D5744D2"/>
    <w:rsid w:val="1D5F5201"/>
    <w:rsid w:val="1D60582D"/>
    <w:rsid w:val="1D6372A4"/>
    <w:rsid w:val="1D695BFF"/>
    <w:rsid w:val="1D6D50D7"/>
    <w:rsid w:val="1D72568A"/>
    <w:rsid w:val="1D7E40DE"/>
    <w:rsid w:val="1D840FC9"/>
    <w:rsid w:val="1D98668D"/>
    <w:rsid w:val="1D996ADE"/>
    <w:rsid w:val="1DA11B7B"/>
    <w:rsid w:val="1DAD6772"/>
    <w:rsid w:val="1DAF4298"/>
    <w:rsid w:val="1DD41F50"/>
    <w:rsid w:val="1DE32193"/>
    <w:rsid w:val="1DE5415D"/>
    <w:rsid w:val="1DEC729A"/>
    <w:rsid w:val="1DF0665E"/>
    <w:rsid w:val="1DF42728"/>
    <w:rsid w:val="1DF60118"/>
    <w:rsid w:val="1DFB74DD"/>
    <w:rsid w:val="1E012619"/>
    <w:rsid w:val="1E0F465C"/>
    <w:rsid w:val="1E124827"/>
    <w:rsid w:val="1E125D3E"/>
    <w:rsid w:val="1E142001"/>
    <w:rsid w:val="1E470974"/>
    <w:rsid w:val="1E4F5A7B"/>
    <w:rsid w:val="1E5D0198"/>
    <w:rsid w:val="1E8F7C25"/>
    <w:rsid w:val="1E9D0594"/>
    <w:rsid w:val="1E9F255E"/>
    <w:rsid w:val="1EAF65C2"/>
    <w:rsid w:val="1EB678A8"/>
    <w:rsid w:val="1EDD4E34"/>
    <w:rsid w:val="1EE00481"/>
    <w:rsid w:val="1EE47F8F"/>
    <w:rsid w:val="1EED151B"/>
    <w:rsid w:val="1F070103"/>
    <w:rsid w:val="1F1657C5"/>
    <w:rsid w:val="1F1A1BE5"/>
    <w:rsid w:val="1F244811"/>
    <w:rsid w:val="1F2E743E"/>
    <w:rsid w:val="1F332CA6"/>
    <w:rsid w:val="1F375BA0"/>
    <w:rsid w:val="1F3F5AEF"/>
    <w:rsid w:val="1F494C76"/>
    <w:rsid w:val="1F6B0692"/>
    <w:rsid w:val="1F6C0729"/>
    <w:rsid w:val="1F703EFB"/>
    <w:rsid w:val="1F705077"/>
    <w:rsid w:val="1F751511"/>
    <w:rsid w:val="1F7A2683"/>
    <w:rsid w:val="1F7F7C9A"/>
    <w:rsid w:val="1F8E612F"/>
    <w:rsid w:val="1F903C55"/>
    <w:rsid w:val="1F933745"/>
    <w:rsid w:val="1F95570F"/>
    <w:rsid w:val="1F973235"/>
    <w:rsid w:val="1FA871F0"/>
    <w:rsid w:val="1FB13E25"/>
    <w:rsid w:val="1FB723C0"/>
    <w:rsid w:val="1FCB2EDF"/>
    <w:rsid w:val="1FCD0A9F"/>
    <w:rsid w:val="1FD275D0"/>
    <w:rsid w:val="1FD46237"/>
    <w:rsid w:val="1FDC50EC"/>
    <w:rsid w:val="1FDF698A"/>
    <w:rsid w:val="1FDF9B9C"/>
    <w:rsid w:val="1FE3647B"/>
    <w:rsid w:val="1FE8583F"/>
    <w:rsid w:val="1FF13FC9"/>
    <w:rsid w:val="1FF233D2"/>
    <w:rsid w:val="1FF40688"/>
    <w:rsid w:val="1FF71F26"/>
    <w:rsid w:val="1FF97A4C"/>
    <w:rsid w:val="1FFE360D"/>
    <w:rsid w:val="200812EA"/>
    <w:rsid w:val="20097E44"/>
    <w:rsid w:val="200D6967"/>
    <w:rsid w:val="20176124"/>
    <w:rsid w:val="201E74B3"/>
    <w:rsid w:val="2020322B"/>
    <w:rsid w:val="2022354E"/>
    <w:rsid w:val="20237DE4"/>
    <w:rsid w:val="202C474F"/>
    <w:rsid w:val="20326142"/>
    <w:rsid w:val="203A0537"/>
    <w:rsid w:val="20407429"/>
    <w:rsid w:val="20472039"/>
    <w:rsid w:val="205B4263"/>
    <w:rsid w:val="206D14A8"/>
    <w:rsid w:val="208F1FFE"/>
    <w:rsid w:val="209634ED"/>
    <w:rsid w:val="2099122F"/>
    <w:rsid w:val="209A1EE8"/>
    <w:rsid w:val="209D2B10"/>
    <w:rsid w:val="20A43E5C"/>
    <w:rsid w:val="20A53730"/>
    <w:rsid w:val="20AA51EA"/>
    <w:rsid w:val="20B322F1"/>
    <w:rsid w:val="20B9542D"/>
    <w:rsid w:val="20BD4324"/>
    <w:rsid w:val="20F326ED"/>
    <w:rsid w:val="210C5CAC"/>
    <w:rsid w:val="210E7527"/>
    <w:rsid w:val="212B632B"/>
    <w:rsid w:val="213056EF"/>
    <w:rsid w:val="21374679"/>
    <w:rsid w:val="213C0AC6"/>
    <w:rsid w:val="213D1AC6"/>
    <w:rsid w:val="21415B4F"/>
    <w:rsid w:val="2148514D"/>
    <w:rsid w:val="214C62A1"/>
    <w:rsid w:val="21542353"/>
    <w:rsid w:val="21621621"/>
    <w:rsid w:val="2164183D"/>
    <w:rsid w:val="21690C01"/>
    <w:rsid w:val="21723F5A"/>
    <w:rsid w:val="2181453C"/>
    <w:rsid w:val="218B501C"/>
    <w:rsid w:val="218B6DCA"/>
    <w:rsid w:val="219043E0"/>
    <w:rsid w:val="21921F06"/>
    <w:rsid w:val="21937A2C"/>
    <w:rsid w:val="21941F7E"/>
    <w:rsid w:val="219D77D1"/>
    <w:rsid w:val="21A571AA"/>
    <w:rsid w:val="21C359FD"/>
    <w:rsid w:val="21C77D00"/>
    <w:rsid w:val="21D55A39"/>
    <w:rsid w:val="21D7200F"/>
    <w:rsid w:val="21E9223B"/>
    <w:rsid w:val="21EF55AB"/>
    <w:rsid w:val="2204097A"/>
    <w:rsid w:val="22097CEF"/>
    <w:rsid w:val="220A4192"/>
    <w:rsid w:val="220D313B"/>
    <w:rsid w:val="220F1D81"/>
    <w:rsid w:val="22105521"/>
    <w:rsid w:val="22121299"/>
    <w:rsid w:val="2219492B"/>
    <w:rsid w:val="221D6C29"/>
    <w:rsid w:val="22230261"/>
    <w:rsid w:val="222B4109"/>
    <w:rsid w:val="22386CFF"/>
    <w:rsid w:val="22475164"/>
    <w:rsid w:val="224D0523"/>
    <w:rsid w:val="2255792F"/>
    <w:rsid w:val="22625D7D"/>
    <w:rsid w:val="226D64CF"/>
    <w:rsid w:val="227609CD"/>
    <w:rsid w:val="22883309"/>
    <w:rsid w:val="22910410"/>
    <w:rsid w:val="22925F36"/>
    <w:rsid w:val="22993B5E"/>
    <w:rsid w:val="229B128E"/>
    <w:rsid w:val="22A31981"/>
    <w:rsid w:val="22A41D1F"/>
    <w:rsid w:val="22A46395"/>
    <w:rsid w:val="22C279CA"/>
    <w:rsid w:val="22C4668D"/>
    <w:rsid w:val="22D622C7"/>
    <w:rsid w:val="22D7693C"/>
    <w:rsid w:val="22E42C35"/>
    <w:rsid w:val="22EF30B5"/>
    <w:rsid w:val="230F7587"/>
    <w:rsid w:val="23110D9F"/>
    <w:rsid w:val="23111551"/>
    <w:rsid w:val="23151041"/>
    <w:rsid w:val="23362D65"/>
    <w:rsid w:val="23386ADD"/>
    <w:rsid w:val="233A2855"/>
    <w:rsid w:val="233D0598"/>
    <w:rsid w:val="2342170A"/>
    <w:rsid w:val="23425BAE"/>
    <w:rsid w:val="234B4BA4"/>
    <w:rsid w:val="234C07DB"/>
    <w:rsid w:val="234C2589"/>
    <w:rsid w:val="235F43AF"/>
    <w:rsid w:val="236E69A3"/>
    <w:rsid w:val="2386532A"/>
    <w:rsid w:val="2387194A"/>
    <w:rsid w:val="238B30B1"/>
    <w:rsid w:val="238E0DF3"/>
    <w:rsid w:val="2392443F"/>
    <w:rsid w:val="239857CE"/>
    <w:rsid w:val="23AE4E3C"/>
    <w:rsid w:val="23AE6D9F"/>
    <w:rsid w:val="23B243EB"/>
    <w:rsid w:val="23BE594F"/>
    <w:rsid w:val="23CD7881"/>
    <w:rsid w:val="23D21FE8"/>
    <w:rsid w:val="23DA7B95"/>
    <w:rsid w:val="23F73B50"/>
    <w:rsid w:val="23FE282D"/>
    <w:rsid w:val="23FF584D"/>
    <w:rsid w:val="24162C88"/>
    <w:rsid w:val="241E5CD3"/>
    <w:rsid w:val="242552B4"/>
    <w:rsid w:val="24391133"/>
    <w:rsid w:val="2443398C"/>
    <w:rsid w:val="24482D50"/>
    <w:rsid w:val="244903E2"/>
    <w:rsid w:val="2451716B"/>
    <w:rsid w:val="24521E21"/>
    <w:rsid w:val="245425DE"/>
    <w:rsid w:val="245D356C"/>
    <w:rsid w:val="24613E12"/>
    <w:rsid w:val="246A5BD7"/>
    <w:rsid w:val="246B6A3F"/>
    <w:rsid w:val="247179A7"/>
    <w:rsid w:val="2479115B"/>
    <w:rsid w:val="247C60EA"/>
    <w:rsid w:val="248B0E8F"/>
    <w:rsid w:val="2490315E"/>
    <w:rsid w:val="249A1C21"/>
    <w:rsid w:val="24A2770B"/>
    <w:rsid w:val="24A3442A"/>
    <w:rsid w:val="24BC729A"/>
    <w:rsid w:val="24C83E91"/>
    <w:rsid w:val="24DE5462"/>
    <w:rsid w:val="24ED38F7"/>
    <w:rsid w:val="24F15196"/>
    <w:rsid w:val="24FC618E"/>
    <w:rsid w:val="25010F47"/>
    <w:rsid w:val="251315B0"/>
    <w:rsid w:val="25166C4D"/>
    <w:rsid w:val="25196DF7"/>
    <w:rsid w:val="251B2213"/>
    <w:rsid w:val="251D5F8B"/>
    <w:rsid w:val="252C662A"/>
    <w:rsid w:val="253357AE"/>
    <w:rsid w:val="253A5C63"/>
    <w:rsid w:val="253D03DB"/>
    <w:rsid w:val="253D487F"/>
    <w:rsid w:val="254B6F9C"/>
    <w:rsid w:val="254E3B66"/>
    <w:rsid w:val="254E4396"/>
    <w:rsid w:val="255A0F8D"/>
    <w:rsid w:val="255D6CCF"/>
    <w:rsid w:val="2561612C"/>
    <w:rsid w:val="25911A7F"/>
    <w:rsid w:val="25AD37B3"/>
    <w:rsid w:val="25AE752B"/>
    <w:rsid w:val="25BA7C7E"/>
    <w:rsid w:val="25D5565D"/>
    <w:rsid w:val="25E101B8"/>
    <w:rsid w:val="25E46AA9"/>
    <w:rsid w:val="25EF3A7D"/>
    <w:rsid w:val="25FD5DBC"/>
    <w:rsid w:val="260306DB"/>
    <w:rsid w:val="26040EF9"/>
    <w:rsid w:val="26064C71"/>
    <w:rsid w:val="260D5FFF"/>
    <w:rsid w:val="26121868"/>
    <w:rsid w:val="26141E39"/>
    <w:rsid w:val="261E645E"/>
    <w:rsid w:val="26293470"/>
    <w:rsid w:val="26321A4B"/>
    <w:rsid w:val="26321F0A"/>
    <w:rsid w:val="2639126C"/>
    <w:rsid w:val="264469D0"/>
    <w:rsid w:val="264D1406"/>
    <w:rsid w:val="264D6D44"/>
    <w:rsid w:val="264F6618"/>
    <w:rsid w:val="26571970"/>
    <w:rsid w:val="265C6F87"/>
    <w:rsid w:val="265E7BA5"/>
    <w:rsid w:val="26775B6F"/>
    <w:rsid w:val="26784F9B"/>
    <w:rsid w:val="26822C27"/>
    <w:rsid w:val="269229A8"/>
    <w:rsid w:val="26A33B80"/>
    <w:rsid w:val="26A36964"/>
    <w:rsid w:val="26A7481C"/>
    <w:rsid w:val="26AF355A"/>
    <w:rsid w:val="26C52DB4"/>
    <w:rsid w:val="26CB0C28"/>
    <w:rsid w:val="26D27249"/>
    <w:rsid w:val="26D94133"/>
    <w:rsid w:val="26DB7EAB"/>
    <w:rsid w:val="26E256DE"/>
    <w:rsid w:val="26E2748C"/>
    <w:rsid w:val="26E33204"/>
    <w:rsid w:val="26F86CAF"/>
    <w:rsid w:val="27070CA1"/>
    <w:rsid w:val="270E3C60"/>
    <w:rsid w:val="2710184A"/>
    <w:rsid w:val="2714160F"/>
    <w:rsid w:val="27196C26"/>
    <w:rsid w:val="273677D8"/>
    <w:rsid w:val="273E668C"/>
    <w:rsid w:val="27427F2B"/>
    <w:rsid w:val="27433CA3"/>
    <w:rsid w:val="27523BA6"/>
    <w:rsid w:val="27545AF9"/>
    <w:rsid w:val="27561C28"/>
    <w:rsid w:val="275D2FB6"/>
    <w:rsid w:val="27606603"/>
    <w:rsid w:val="27693709"/>
    <w:rsid w:val="27706F5D"/>
    <w:rsid w:val="2778394C"/>
    <w:rsid w:val="278247CB"/>
    <w:rsid w:val="27846795"/>
    <w:rsid w:val="278C564A"/>
    <w:rsid w:val="279066BB"/>
    <w:rsid w:val="27985D9D"/>
    <w:rsid w:val="27A110F5"/>
    <w:rsid w:val="27AB594A"/>
    <w:rsid w:val="27B150B0"/>
    <w:rsid w:val="27B16E5E"/>
    <w:rsid w:val="27C13545"/>
    <w:rsid w:val="27C6290A"/>
    <w:rsid w:val="27C83FC7"/>
    <w:rsid w:val="27D13492"/>
    <w:rsid w:val="27D35027"/>
    <w:rsid w:val="27D36DD5"/>
    <w:rsid w:val="27D52B4D"/>
    <w:rsid w:val="27DA0163"/>
    <w:rsid w:val="27DA63B5"/>
    <w:rsid w:val="27E03BAB"/>
    <w:rsid w:val="27E56B08"/>
    <w:rsid w:val="27E62FAC"/>
    <w:rsid w:val="27EB4D1A"/>
    <w:rsid w:val="27EE00B2"/>
    <w:rsid w:val="27F003EA"/>
    <w:rsid w:val="27FF7BCA"/>
    <w:rsid w:val="28100029"/>
    <w:rsid w:val="28100A83"/>
    <w:rsid w:val="281318C7"/>
    <w:rsid w:val="281A4A03"/>
    <w:rsid w:val="28355CE1"/>
    <w:rsid w:val="283A32F8"/>
    <w:rsid w:val="283E55A9"/>
    <w:rsid w:val="285446C2"/>
    <w:rsid w:val="2855471E"/>
    <w:rsid w:val="285E0D94"/>
    <w:rsid w:val="28640B8A"/>
    <w:rsid w:val="28677D23"/>
    <w:rsid w:val="286D7229"/>
    <w:rsid w:val="28701C4C"/>
    <w:rsid w:val="28722A91"/>
    <w:rsid w:val="287E0A6F"/>
    <w:rsid w:val="28846321"/>
    <w:rsid w:val="288F53F1"/>
    <w:rsid w:val="28991DCC"/>
    <w:rsid w:val="28A30E9D"/>
    <w:rsid w:val="28B46C06"/>
    <w:rsid w:val="28BC1F5F"/>
    <w:rsid w:val="28BD3D43"/>
    <w:rsid w:val="28D57A5B"/>
    <w:rsid w:val="28D948BF"/>
    <w:rsid w:val="28DD42EE"/>
    <w:rsid w:val="28DF1501"/>
    <w:rsid w:val="28E60D8A"/>
    <w:rsid w:val="28ED5E2B"/>
    <w:rsid w:val="28F21696"/>
    <w:rsid w:val="29051210"/>
    <w:rsid w:val="290703C0"/>
    <w:rsid w:val="29115E06"/>
    <w:rsid w:val="29177195"/>
    <w:rsid w:val="291D29FD"/>
    <w:rsid w:val="291E0B70"/>
    <w:rsid w:val="29231FDE"/>
    <w:rsid w:val="29263300"/>
    <w:rsid w:val="292728BE"/>
    <w:rsid w:val="29325D7D"/>
    <w:rsid w:val="293B10D5"/>
    <w:rsid w:val="2940049A"/>
    <w:rsid w:val="2943271A"/>
    <w:rsid w:val="2952197F"/>
    <w:rsid w:val="295A138B"/>
    <w:rsid w:val="29604D54"/>
    <w:rsid w:val="296518E3"/>
    <w:rsid w:val="29693E94"/>
    <w:rsid w:val="2974151B"/>
    <w:rsid w:val="2976035F"/>
    <w:rsid w:val="297D16EE"/>
    <w:rsid w:val="297D349C"/>
    <w:rsid w:val="298D307B"/>
    <w:rsid w:val="29914281"/>
    <w:rsid w:val="29A46C7B"/>
    <w:rsid w:val="29A9603F"/>
    <w:rsid w:val="29A96052"/>
    <w:rsid w:val="29B45034"/>
    <w:rsid w:val="29B63ACC"/>
    <w:rsid w:val="29B86DCE"/>
    <w:rsid w:val="29BE6177"/>
    <w:rsid w:val="29C404B3"/>
    <w:rsid w:val="29E21F96"/>
    <w:rsid w:val="29E34D0F"/>
    <w:rsid w:val="29E36B3C"/>
    <w:rsid w:val="29EF13F1"/>
    <w:rsid w:val="29F41A96"/>
    <w:rsid w:val="29FC04AA"/>
    <w:rsid w:val="29FD282F"/>
    <w:rsid w:val="2A073350"/>
    <w:rsid w:val="2A206A49"/>
    <w:rsid w:val="2A2E0C3A"/>
    <w:rsid w:val="2A353D77"/>
    <w:rsid w:val="2A44220C"/>
    <w:rsid w:val="2A4B359A"/>
    <w:rsid w:val="2A4B401E"/>
    <w:rsid w:val="2A693A20"/>
    <w:rsid w:val="2A6E1037"/>
    <w:rsid w:val="2A745211"/>
    <w:rsid w:val="2A7A79DB"/>
    <w:rsid w:val="2A7C19A5"/>
    <w:rsid w:val="2A8645D2"/>
    <w:rsid w:val="2A930A9D"/>
    <w:rsid w:val="2A965157"/>
    <w:rsid w:val="2A9860B3"/>
    <w:rsid w:val="2AA003B5"/>
    <w:rsid w:val="2AAE58D7"/>
    <w:rsid w:val="2AC31382"/>
    <w:rsid w:val="2ACA1805"/>
    <w:rsid w:val="2ACC6349"/>
    <w:rsid w:val="2AD0584D"/>
    <w:rsid w:val="2AD4533E"/>
    <w:rsid w:val="2ADA66CC"/>
    <w:rsid w:val="2ADE440E"/>
    <w:rsid w:val="2AE148B4"/>
    <w:rsid w:val="2AE77406"/>
    <w:rsid w:val="2AE9690F"/>
    <w:rsid w:val="2AFF3560"/>
    <w:rsid w:val="2B011CF0"/>
    <w:rsid w:val="2B1020EE"/>
    <w:rsid w:val="2B142C50"/>
    <w:rsid w:val="2B152059"/>
    <w:rsid w:val="2B1E2A5D"/>
    <w:rsid w:val="2B230073"/>
    <w:rsid w:val="2B231E21"/>
    <w:rsid w:val="2B41036D"/>
    <w:rsid w:val="2B4104F9"/>
    <w:rsid w:val="2B412530"/>
    <w:rsid w:val="2B4324C3"/>
    <w:rsid w:val="2B4327FE"/>
    <w:rsid w:val="2B45448D"/>
    <w:rsid w:val="2B465B0F"/>
    <w:rsid w:val="2B4D6E9E"/>
    <w:rsid w:val="2B501978"/>
    <w:rsid w:val="2B5813EC"/>
    <w:rsid w:val="2B5841C1"/>
    <w:rsid w:val="2B6C1A1A"/>
    <w:rsid w:val="2B753952"/>
    <w:rsid w:val="2B793AD0"/>
    <w:rsid w:val="2B7D7783"/>
    <w:rsid w:val="2B8A1EA0"/>
    <w:rsid w:val="2B940F71"/>
    <w:rsid w:val="2BAD01D4"/>
    <w:rsid w:val="2BB1567F"/>
    <w:rsid w:val="2BB94E0D"/>
    <w:rsid w:val="2BC76C50"/>
    <w:rsid w:val="2BD17ACF"/>
    <w:rsid w:val="2BD82C0B"/>
    <w:rsid w:val="2BFA4538"/>
    <w:rsid w:val="2BFF4B3E"/>
    <w:rsid w:val="2C0803CD"/>
    <w:rsid w:val="2C2220D9"/>
    <w:rsid w:val="2C274DE6"/>
    <w:rsid w:val="2C2916B9"/>
    <w:rsid w:val="2C302A48"/>
    <w:rsid w:val="2C31056E"/>
    <w:rsid w:val="2C387AF5"/>
    <w:rsid w:val="2C3A1B18"/>
    <w:rsid w:val="2C3B319A"/>
    <w:rsid w:val="2C4C2ECB"/>
    <w:rsid w:val="2C5129BE"/>
    <w:rsid w:val="2C7D1A78"/>
    <w:rsid w:val="2C864D5D"/>
    <w:rsid w:val="2C956D4E"/>
    <w:rsid w:val="2CA13945"/>
    <w:rsid w:val="2CA174A1"/>
    <w:rsid w:val="2CA20917"/>
    <w:rsid w:val="2CA90A4C"/>
    <w:rsid w:val="2CB642F2"/>
    <w:rsid w:val="2CBB70BA"/>
    <w:rsid w:val="2CC459BD"/>
    <w:rsid w:val="2CDE1AA8"/>
    <w:rsid w:val="2CDE24A4"/>
    <w:rsid w:val="2CEB696E"/>
    <w:rsid w:val="2CFE66A2"/>
    <w:rsid w:val="2D104BC8"/>
    <w:rsid w:val="2D1212E9"/>
    <w:rsid w:val="2D1C121E"/>
    <w:rsid w:val="2D287BC3"/>
    <w:rsid w:val="2D3C3092"/>
    <w:rsid w:val="2D5664DE"/>
    <w:rsid w:val="2D5B7F98"/>
    <w:rsid w:val="2D5C609F"/>
    <w:rsid w:val="2D6D3827"/>
    <w:rsid w:val="2D893E93"/>
    <w:rsid w:val="2D8E211C"/>
    <w:rsid w:val="2D8F5E37"/>
    <w:rsid w:val="2D913DED"/>
    <w:rsid w:val="2D931F67"/>
    <w:rsid w:val="2DAC5D76"/>
    <w:rsid w:val="2DEA4E78"/>
    <w:rsid w:val="2DF06932"/>
    <w:rsid w:val="2DF33D2D"/>
    <w:rsid w:val="2DF56335"/>
    <w:rsid w:val="2DFB7AF8"/>
    <w:rsid w:val="2DFF6B75"/>
    <w:rsid w:val="2E0E0B66"/>
    <w:rsid w:val="2E0E27BF"/>
    <w:rsid w:val="2E0E6C8B"/>
    <w:rsid w:val="2E1B5BCA"/>
    <w:rsid w:val="2E20089A"/>
    <w:rsid w:val="2E4427DA"/>
    <w:rsid w:val="2E4647A4"/>
    <w:rsid w:val="2E4F2F2D"/>
    <w:rsid w:val="2E513149"/>
    <w:rsid w:val="2E5170FD"/>
    <w:rsid w:val="2E5B2DBC"/>
    <w:rsid w:val="2E5D564A"/>
    <w:rsid w:val="2E673919"/>
    <w:rsid w:val="2E6E5AA9"/>
    <w:rsid w:val="2E833646"/>
    <w:rsid w:val="2E980D78"/>
    <w:rsid w:val="2E9848D4"/>
    <w:rsid w:val="2EAA7404"/>
    <w:rsid w:val="2EB07E70"/>
    <w:rsid w:val="2EBA6F40"/>
    <w:rsid w:val="2EC102CF"/>
    <w:rsid w:val="2ED4025B"/>
    <w:rsid w:val="2ED81174"/>
    <w:rsid w:val="2EE31FF3"/>
    <w:rsid w:val="2EEA15D4"/>
    <w:rsid w:val="2EF97A69"/>
    <w:rsid w:val="2EFA62B4"/>
    <w:rsid w:val="2F104DB2"/>
    <w:rsid w:val="2F171C9D"/>
    <w:rsid w:val="2F20249B"/>
    <w:rsid w:val="2F590474"/>
    <w:rsid w:val="2F68074A"/>
    <w:rsid w:val="2F7346FD"/>
    <w:rsid w:val="2F754677"/>
    <w:rsid w:val="2F866E22"/>
    <w:rsid w:val="2F884949"/>
    <w:rsid w:val="2F902E20"/>
    <w:rsid w:val="2F9037FD"/>
    <w:rsid w:val="2F930E6C"/>
    <w:rsid w:val="2F972DDE"/>
    <w:rsid w:val="2FA0417A"/>
    <w:rsid w:val="2FA56281"/>
    <w:rsid w:val="2FAF0127"/>
    <w:rsid w:val="2FB27C17"/>
    <w:rsid w:val="2FBF6F58"/>
    <w:rsid w:val="2FF13BF2"/>
    <w:rsid w:val="2FF80E15"/>
    <w:rsid w:val="3001544A"/>
    <w:rsid w:val="30110DE2"/>
    <w:rsid w:val="302C79CA"/>
    <w:rsid w:val="30332B06"/>
    <w:rsid w:val="30424645"/>
    <w:rsid w:val="30444BBF"/>
    <w:rsid w:val="305E56A9"/>
    <w:rsid w:val="306B04F2"/>
    <w:rsid w:val="307A441B"/>
    <w:rsid w:val="30872E52"/>
    <w:rsid w:val="30881DDD"/>
    <w:rsid w:val="308B0B94"/>
    <w:rsid w:val="308C0468"/>
    <w:rsid w:val="309117EF"/>
    <w:rsid w:val="30963095"/>
    <w:rsid w:val="30986E0B"/>
    <w:rsid w:val="3099669F"/>
    <w:rsid w:val="309C68FD"/>
    <w:rsid w:val="309D2223"/>
    <w:rsid w:val="30AE4198"/>
    <w:rsid w:val="30B579BF"/>
    <w:rsid w:val="30B60B6B"/>
    <w:rsid w:val="30B9756B"/>
    <w:rsid w:val="30BC6B4D"/>
    <w:rsid w:val="30BF25EC"/>
    <w:rsid w:val="30D140CD"/>
    <w:rsid w:val="30D756C5"/>
    <w:rsid w:val="30D75B88"/>
    <w:rsid w:val="31077AEF"/>
    <w:rsid w:val="311A1F18"/>
    <w:rsid w:val="3126266B"/>
    <w:rsid w:val="312E32CE"/>
    <w:rsid w:val="313308E4"/>
    <w:rsid w:val="313A5ABF"/>
    <w:rsid w:val="313B43AB"/>
    <w:rsid w:val="31415D26"/>
    <w:rsid w:val="3142124E"/>
    <w:rsid w:val="31496359"/>
    <w:rsid w:val="31556AAC"/>
    <w:rsid w:val="315A3E8F"/>
    <w:rsid w:val="315C6645"/>
    <w:rsid w:val="316118F5"/>
    <w:rsid w:val="31626AF7"/>
    <w:rsid w:val="31646256"/>
    <w:rsid w:val="31837ABD"/>
    <w:rsid w:val="319E43E2"/>
    <w:rsid w:val="31B15E56"/>
    <w:rsid w:val="31C51E84"/>
    <w:rsid w:val="31CC4FC0"/>
    <w:rsid w:val="31E7004C"/>
    <w:rsid w:val="31F8360F"/>
    <w:rsid w:val="320B4BD2"/>
    <w:rsid w:val="321150C9"/>
    <w:rsid w:val="321C75CA"/>
    <w:rsid w:val="322841C1"/>
    <w:rsid w:val="32295C5F"/>
    <w:rsid w:val="322A42A7"/>
    <w:rsid w:val="32342B66"/>
    <w:rsid w:val="323E7BC9"/>
    <w:rsid w:val="3240150B"/>
    <w:rsid w:val="325A33E4"/>
    <w:rsid w:val="3276166B"/>
    <w:rsid w:val="32784D16"/>
    <w:rsid w:val="328011B4"/>
    <w:rsid w:val="32821B23"/>
    <w:rsid w:val="328238D1"/>
    <w:rsid w:val="329B4D38"/>
    <w:rsid w:val="329D070B"/>
    <w:rsid w:val="32AA2E28"/>
    <w:rsid w:val="32AE77F6"/>
    <w:rsid w:val="32B5154C"/>
    <w:rsid w:val="32E20814"/>
    <w:rsid w:val="32EF7B11"/>
    <w:rsid w:val="32F11EBD"/>
    <w:rsid w:val="32F80037"/>
    <w:rsid w:val="33093FF2"/>
    <w:rsid w:val="33184235"/>
    <w:rsid w:val="33216D43"/>
    <w:rsid w:val="33263C60"/>
    <w:rsid w:val="33295ED0"/>
    <w:rsid w:val="332A71C2"/>
    <w:rsid w:val="333138C4"/>
    <w:rsid w:val="333C7F24"/>
    <w:rsid w:val="33487940"/>
    <w:rsid w:val="334943EF"/>
    <w:rsid w:val="33510E6D"/>
    <w:rsid w:val="33552D94"/>
    <w:rsid w:val="33573387"/>
    <w:rsid w:val="335F3C12"/>
    <w:rsid w:val="33605348"/>
    <w:rsid w:val="33631954"/>
    <w:rsid w:val="336B0809"/>
    <w:rsid w:val="336E20A7"/>
    <w:rsid w:val="336E3E55"/>
    <w:rsid w:val="337551E4"/>
    <w:rsid w:val="33770F5C"/>
    <w:rsid w:val="337955D1"/>
    <w:rsid w:val="339733AC"/>
    <w:rsid w:val="339A2E9C"/>
    <w:rsid w:val="339C6C14"/>
    <w:rsid w:val="33A1074F"/>
    <w:rsid w:val="33A27CB6"/>
    <w:rsid w:val="33A61841"/>
    <w:rsid w:val="33B65F28"/>
    <w:rsid w:val="33C45AE9"/>
    <w:rsid w:val="33C817B8"/>
    <w:rsid w:val="33C87A09"/>
    <w:rsid w:val="33CD6DCE"/>
    <w:rsid w:val="33CF2B46"/>
    <w:rsid w:val="33D02303"/>
    <w:rsid w:val="33DF6B01"/>
    <w:rsid w:val="33E02FA5"/>
    <w:rsid w:val="33E660E2"/>
    <w:rsid w:val="33E97A6D"/>
    <w:rsid w:val="33F0595F"/>
    <w:rsid w:val="33F14BB2"/>
    <w:rsid w:val="33F151B2"/>
    <w:rsid w:val="33F407FF"/>
    <w:rsid w:val="34027F39"/>
    <w:rsid w:val="340547BA"/>
    <w:rsid w:val="340F73E6"/>
    <w:rsid w:val="34160775"/>
    <w:rsid w:val="341B5D8B"/>
    <w:rsid w:val="341E2485"/>
    <w:rsid w:val="343155AF"/>
    <w:rsid w:val="343B7960"/>
    <w:rsid w:val="34504B07"/>
    <w:rsid w:val="345319C9"/>
    <w:rsid w:val="34567FB6"/>
    <w:rsid w:val="345E211C"/>
    <w:rsid w:val="346B112D"/>
    <w:rsid w:val="346F4329"/>
    <w:rsid w:val="34735BC7"/>
    <w:rsid w:val="34763909"/>
    <w:rsid w:val="347C522D"/>
    <w:rsid w:val="348C4EDB"/>
    <w:rsid w:val="348E0C53"/>
    <w:rsid w:val="34977F25"/>
    <w:rsid w:val="349F4C0E"/>
    <w:rsid w:val="34CC177B"/>
    <w:rsid w:val="34CE2DFE"/>
    <w:rsid w:val="34D15BD8"/>
    <w:rsid w:val="34DB376C"/>
    <w:rsid w:val="34F04524"/>
    <w:rsid w:val="35041A62"/>
    <w:rsid w:val="350E58F0"/>
    <w:rsid w:val="35101668"/>
    <w:rsid w:val="351078BA"/>
    <w:rsid w:val="351849C1"/>
    <w:rsid w:val="351B4CC3"/>
    <w:rsid w:val="352548AE"/>
    <w:rsid w:val="352C5D76"/>
    <w:rsid w:val="353335A8"/>
    <w:rsid w:val="35344874"/>
    <w:rsid w:val="353C2E8A"/>
    <w:rsid w:val="354E6FDD"/>
    <w:rsid w:val="35531555"/>
    <w:rsid w:val="356365B5"/>
    <w:rsid w:val="35796AB6"/>
    <w:rsid w:val="357C2641"/>
    <w:rsid w:val="35867971"/>
    <w:rsid w:val="358838F4"/>
    <w:rsid w:val="358E5A82"/>
    <w:rsid w:val="35956011"/>
    <w:rsid w:val="35A3421D"/>
    <w:rsid w:val="35B3638F"/>
    <w:rsid w:val="35B67D5E"/>
    <w:rsid w:val="35C10BB4"/>
    <w:rsid w:val="35D51C91"/>
    <w:rsid w:val="35D97CAC"/>
    <w:rsid w:val="35DC779C"/>
    <w:rsid w:val="35E30B2B"/>
    <w:rsid w:val="35E76CF9"/>
    <w:rsid w:val="35F965A0"/>
    <w:rsid w:val="36127662"/>
    <w:rsid w:val="361545C7"/>
    <w:rsid w:val="361B6516"/>
    <w:rsid w:val="36211653"/>
    <w:rsid w:val="362A49AB"/>
    <w:rsid w:val="362B4280"/>
    <w:rsid w:val="36343134"/>
    <w:rsid w:val="36380975"/>
    <w:rsid w:val="36405F7D"/>
    <w:rsid w:val="36536DB2"/>
    <w:rsid w:val="36547242"/>
    <w:rsid w:val="365657A0"/>
    <w:rsid w:val="365B6913"/>
    <w:rsid w:val="36613D32"/>
    <w:rsid w:val="36764DA8"/>
    <w:rsid w:val="36811BDB"/>
    <w:rsid w:val="368F2A60"/>
    <w:rsid w:val="369C2081"/>
    <w:rsid w:val="36AA33F6"/>
    <w:rsid w:val="36AA64F4"/>
    <w:rsid w:val="36AB433D"/>
    <w:rsid w:val="36AC3612"/>
    <w:rsid w:val="36B142C1"/>
    <w:rsid w:val="36B349A1"/>
    <w:rsid w:val="36B50719"/>
    <w:rsid w:val="36BA6444"/>
    <w:rsid w:val="36C20CA0"/>
    <w:rsid w:val="36C56482"/>
    <w:rsid w:val="36C61A50"/>
    <w:rsid w:val="36C81141"/>
    <w:rsid w:val="36C82444"/>
    <w:rsid w:val="36C97D20"/>
    <w:rsid w:val="36D641EB"/>
    <w:rsid w:val="36DF6BBE"/>
    <w:rsid w:val="36FC3F96"/>
    <w:rsid w:val="37024FE0"/>
    <w:rsid w:val="370E607B"/>
    <w:rsid w:val="372413FB"/>
    <w:rsid w:val="37284806"/>
    <w:rsid w:val="372C4753"/>
    <w:rsid w:val="373C2029"/>
    <w:rsid w:val="375021F0"/>
    <w:rsid w:val="37590B61"/>
    <w:rsid w:val="37682C68"/>
    <w:rsid w:val="376C68FE"/>
    <w:rsid w:val="37704AD8"/>
    <w:rsid w:val="3781684D"/>
    <w:rsid w:val="37863E63"/>
    <w:rsid w:val="378B7ED8"/>
    <w:rsid w:val="379A790F"/>
    <w:rsid w:val="379E34FB"/>
    <w:rsid w:val="37AC319E"/>
    <w:rsid w:val="37AE5168"/>
    <w:rsid w:val="37B95128"/>
    <w:rsid w:val="37BE1E3D"/>
    <w:rsid w:val="37BE35FD"/>
    <w:rsid w:val="37BF1123"/>
    <w:rsid w:val="37C0293D"/>
    <w:rsid w:val="37C8447C"/>
    <w:rsid w:val="37CB5D1A"/>
    <w:rsid w:val="37CF1F8E"/>
    <w:rsid w:val="37D02E41"/>
    <w:rsid w:val="37D40D77"/>
    <w:rsid w:val="37D746BF"/>
    <w:rsid w:val="37D96758"/>
    <w:rsid w:val="37F76B0F"/>
    <w:rsid w:val="37FF59C4"/>
    <w:rsid w:val="380A0362"/>
    <w:rsid w:val="380F3E59"/>
    <w:rsid w:val="381256F7"/>
    <w:rsid w:val="381578B3"/>
    <w:rsid w:val="38177255"/>
    <w:rsid w:val="38262F51"/>
    <w:rsid w:val="382F44FB"/>
    <w:rsid w:val="38347120"/>
    <w:rsid w:val="384546EC"/>
    <w:rsid w:val="384D0E80"/>
    <w:rsid w:val="38526945"/>
    <w:rsid w:val="38561A88"/>
    <w:rsid w:val="386046B4"/>
    <w:rsid w:val="38631431"/>
    <w:rsid w:val="38651CCB"/>
    <w:rsid w:val="386B60C8"/>
    <w:rsid w:val="38701D47"/>
    <w:rsid w:val="3872263A"/>
    <w:rsid w:val="38740160"/>
    <w:rsid w:val="38797524"/>
    <w:rsid w:val="387D4F88"/>
    <w:rsid w:val="387E0FDF"/>
    <w:rsid w:val="3885236D"/>
    <w:rsid w:val="38877E93"/>
    <w:rsid w:val="388D4D7E"/>
    <w:rsid w:val="38A21F1B"/>
    <w:rsid w:val="38AA5930"/>
    <w:rsid w:val="38AF73EA"/>
    <w:rsid w:val="38B8629F"/>
    <w:rsid w:val="38B92017"/>
    <w:rsid w:val="38C60E53"/>
    <w:rsid w:val="38CC03EE"/>
    <w:rsid w:val="38DE1A7D"/>
    <w:rsid w:val="38E373C4"/>
    <w:rsid w:val="38EB7BBE"/>
    <w:rsid w:val="39000FC8"/>
    <w:rsid w:val="390B6DE3"/>
    <w:rsid w:val="39194863"/>
    <w:rsid w:val="391A4241"/>
    <w:rsid w:val="39202096"/>
    <w:rsid w:val="39205BF2"/>
    <w:rsid w:val="39292CF8"/>
    <w:rsid w:val="39294987"/>
    <w:rsid w:val="393B0C7E"/>
    <w:rsid w:val="393D7D07"/>
    <w:rsid w:val="394144E6"/>
    <w:rsid w:val="39461AFC"/>
    <w:rsid w:val="394F385D"/>
    <w:rsid w:val="39535FC7"/>
    <w:rsid w:val="39551D3F"/>
    <w:rsid w:val="39565AB7"/>
    <w:rsid w:val="395B4E7C"/>
    <w:rsid w:val="395D575C"/>
    <w:rsid w:val="3969383E"/>
    <w:rsid w:val="396B3311"/>
    <w:rsid w:val="396B4651"/>
    <w:rsid w:val="397217C8"/>
    <w:rsid w:val="397228F1"/>
    <w:rsid w:val="397D0653"/>
    <w:rsid w:val="398268AC"/>
    <w:rsid w:val="39842625"/>
    <w:rsid w:val="39846181"/>
    <w:rsid w:val="39850165"/>
    <w:rsid w:val="398B39B3"/>
    <w:rsid w:val="398E6E86"/>
    <w:rsid w:val="3995213C"/>
    <w:rsid w:val="399A3101"/>
    <w:rsid w:val="399D36E6"/>
    <w:rsid w:val="39A64349"/>
    <w:rsid w:val="39A832D5"/>
    <w:rsid w:val="39A91F3F"/>
    <w:rsid w:val="39B0341A"/>
    <w:rsid w:val="39B03B77"/>
    <w:rsid w:val="39B10F55"/>
    <w:rsid w:val="39B239D6"/>
    <w:rsid w:val="39C90037"/>
    <w:rsid w:val="39D54C2E"/>
    <w:rsid w:val="39D87C3D"/>
    <w:rsid w:val="39DA5936"/>
    <w:rsid w:val="39F452CD"/>
    <w:rsid w:val="39F53B9B"/>
    <w:rsid w:val="39F74BA5"/>
    <w:rsid w:val="3A135677"/>
    <w:rsid w:val="3A1A6AE5"/>
    <w:rsid w:val="3A327E40"/>
    <w:rsid w:val="3A4F795A"/>
    <w:rsid w:val="3A500759"/>
    <w:rsid w:val="3A526E97"/>
    <w:rsid w:val="3A553BAD"/>
    <w:rsid w:val="3A6A646E"/>
    <w:rsid w:val="3A6C4914"/>
    <w:rsid w:val="3A704957"/>
    <w:rsid w:val="3A726921"/>
    <w:rsid w:val="3A891A84"/>
    <w:rsid w:val="3A98366A"/>
    <w:rsid w:val="3AB605BC"/>
    <w:rsid w:val="3AC058DE"/>
    <w:rsid w:val="3AD76784"/>
    <w:rsid w:val="3AD849D6"/>
    <w:rsid w:val="3ADF2FC8"/>
    <w:rsid w:val="3AE25855"/>
    <w:rsid w:val="3AEA295B"/>
    <w:rsid w:val="3AFB2473"/>
    <w:rsid w:val="3B051543"/>
    <w:rsid w:val="3B057795"/>
    <w:rsid w:val="3B0B46B2"/>
    <w:rsid w:val="3B3D0CDD"/>
    <w:rsid w:val="3B4E2EEA"/>
    <w:rsid w:val="3B5224A4"/>
    <w:rsid w:val="3B581673"/>
    <w:rsid w:val="3B5A363D"/>
    <w:rsid w:val="3B64626A"/>
    <w:rsid w:val="3B694EDA"/>
    <w:rsid w:val="3B7346FF"/>
    <w:rsid w:val="3B7F380B"/>
    <w:rsid w:val="3B8102A9"/>
    <w:rsid w:val="3B820DE6"/>
    <w:rsid w:val="3B862684"/>
    <w:rsid w:val="3B871F58"/>
    <w:rsid w:val="3B983D42"/>
    <w:rsid w:val="3BA11D38"/>
    <w:rsid w:val="3BA62369"/>
    <w:rsid w:val="3BB15227"/>
    <w:rsid w:val="3BBC60A6"/>
    <w:rsid w:val="3BD11425"/>
    <w:rsid w:val="3BD67F84"/>
    <w:rsid w:val="3BDD426E"/>
    <w:rsid w:val="3BE20F5A"/>
    <w:rsid w:val="3BE23632"/>
    <w:rsid w:val="3C011B54"/>
    <w:rsid w:val="3C163B20"/>
    <w:rsid w:val="3C2712CD"/>
    <w:rsid w:val="3C2D2B00"/>
    <w:rsid w:val="3C3420E0"/>
    <w:rsid w:val="3C3E2F5F"/>
    <w:rsid w:val="3C4A1903"/>
    <w:rsid w:val="3C4E2A76"/>
    <w:rsid w:val="3C5457A1"/>
    <w:rsid w:val="3C577B7C"/>
    <w:rsid w:val="3C5E0F0B"/>
    <w:rsid w:val="3C601127"/>
    <w:rsid w:val="3C642299"/>
    <w:rsid w:val="3C6A3D54"/>
    <w:rsid w:val="3C7D7AB1"/>
    <w:rsid w:val="3C872058"/>
    <w:rsid w:val="3C94492D"/>
    <w:rsid w:val="3C9C22C8"/>
    <w:rsid w:val="3CA371C7"/>
    <w:rsid w:val="3CA803D8"/>
    <w:rsid w:val="3CC82828"/>
    <w:rsid w:val="3CCD1BAC"/>
    <w:rsid w:val="3CDD06FA"/>
    <w:rsid w:val="3CE61B74"/>
    <w:rsid w:val="3CF61143"/>
    <w:rsid w:val="3CFC0724"/>
    <w:rsid w:val="3D024608"/>
    <w:rsid w:val="3D0C480F"/>
    <w:rsid w:val="3D167A38"/>
    <w:rsid w:val="3D1B504E"/>
    <w:rsid w:val="3D2008B6"/>
    <w:rsid w:val="3D2E4D81"/>
    <w:rsid w:val="3D3D2E34"/>
    <w:rsid w:val="3D4177E3"/>
    <w:rsid w:val="3D491BBB"/>
    <w:rsid w:val="3D580050"/>
    <w:rsid w:val="3D5E7152"/>
    <w:rsid w:val="3D605157"/>
    <w:rsid w:val="3D6222EE"/>
    <w:rsid w:val="3D724F16"/>
    <w:rsid w:val="3D7B5AED"/>
    <w:rsid w:val="3D804EB1"/>
    <w:rsid w:val="3DA30C11"/>
    <w:rsid w:val="3DA90F76"/>
    <w:rsid w:val="3DC265EB"/>
    <w:rsid w:val="3DC93D93"/>
    <w:rsid w:val="3DD176C1"/>
    <w:rsid w:val="3DDC2A2F"/>
    <w:rsid w:val="3DE540C9"/>
    <w:rsid w:val="3DEE4511"/>
    <w:rsid w:val="3DF21B38"/>
    <w:rsid w:val="3E0D2D58"/>
    <w:rsid w:val="3E23240C"/>
    <w:rsid w:val="3E311117"/>
    <w:rsid w:val="3E350391"/>
    <w:rsid w:val="3E52684D"/>
    <w:rsid w:val="3E5325C6"/>
    <w:rsid w:val="3E686071"/>
    <w:rsid w:val="3E7359A9"/>
    <w:rsid w:val="3E7A4D99"/>
    <w:rsid w:val="3E8051E1"/>
    <w:rsid w:val="3EA03A5D"/>
    <w:rsid w:val="3EA31D29"/>
    <w:rsid w:val="3EA352FB"/>
    <w:rsid w:val="3EA370A9"/>
    <w:rsid w:val="3EA64DEB"/>
    <w:rsid w:val="3EAD1CD6"/>
    <w:rsid w:val="3EBE0458"/>
    <w:rsid w:val="3EBE4E2C"/>
    <w:rsid w:val="3EC05EAD"/>
    <w:rsid w:val="3ECD2378"/>
    <w:rsid w:val="3EE6709F"/>
    <w:rsid w:val="3EE768AB"/>
    <w:rsid w:val="3EE85404"/>
    <w:rsid w:val="3EEA117C"/>
    <w:rsid w:val="3EF15791"/>
    <w:rsid w:val="3EF81910"/>
    <w:rsid w:val="3EFC2C5D"/>
    <w:rsid w:val="3F056068"/>
    <w:rsid w:val="3F06201F"/>
    <w:rsid w:val="3F1461F9"/>
    <w:rsid w:val="3F1A5776"/>
    <w:rsid w:val="3F281CA4"/>
    <w:rsid w:val="3F310B59"/>
    <w:rsid w:val="3F3423F7"/>
    <w:rsid w:val="3F453540"/>
    <w:rsid w:val="3F4A39C9"/>
    <w:rsid w:val="3F4C624D"/>
    <w:rsid w:val="3F544847"/>
    <w:rsid w:val="3F6031EC"/>
    <w:rsid w:val="3F7009F7"/>
    <w:rsid w:val="3F780536"/>
    <w:rsid w:val="3F781209"/>
    <w:rsid w:val="3F7A771C"/>
    <w:rsid w:val="3F7B1DD4"/>
    <w:rsid w:val="3F89533D"/>
    <w:rsid w:val="3F8E7D59"/>
    <w:rsid w:val="3F9708C6"/>
    <w:rsid w:val="3F9966FE"/>
    <w:rsid w:val="3F9C0436"/>
    <w:rsid w:val="3FA847A5"/>
    <w:rsid w:val="3FBB0422"/>
    <w:rsid w:val="3FC0288B"/>
    <w:rsid w:val="3FC05C00"/>
    <w:rsid w:val="3FC7326B"/>
    <w:rsid w:val="3FCA37A3"/>
    <w:rsid w:val="3FEC4DEE"/>
    <w:rsid w:val="40077B0C"/>
    <w:rsid w:val="401A15ED"/>
    <w:rsid w:val="402A270B"/>
    <w:rsid w:val="40300E10"/>
    <w:rsid w:val="40330901"/>
    <w:rsid w:val="403C77B5"/>
    <w:rsid w:val="405E0A87"/>
    <w:rsid w:val="407C02A4"/>
    <w:rsid w:val="407F58F4"/>
    <w:rsid w:val="407F76A2"/>
    <w:rsid w:val="40827192"/>
    <w:rsid w:val="409A44DC"/>
    <w:rsid w:val="409B3AF8"/>
    <w:rsid w:val="40AB2773"/>
    <w:rsid w:val="40BA72C4"/>
    <w:rsid w:val="40BE01CA"/>
    <w:rsid w:val="40BE0F76"/>
    <w:rsid w:val="40CE48A0"/>
    <w:rsid w:val="40E65224"/>
    <w:rsid w:val="40E83499"/>
    <w:rsid w:val="41151DB4"/>
    <w:rsid w:val="41222415"/>
    <w:rsid w:val="41287D39"/>
    <w:rsid w:val="412A3AB2"/>
    <w:rsid w:val="412A691E"/>
    <w:rsid w:val="41304EAA"/>
    <w:rsid w:val="41320BB8"/>
    <w:rsid w:val="41547EEF"/>
    <w:rsid w:val="415723CD"/>
    <w:rsid w:val="415A08CA"/>
    <w:rsid w:val="415C79E3"/>
    <w:rsid w:val="416A280A"/>
    <w:rsid w:val="41761393"/>
    <w:rsid w:val="41765F5A"/>
    <w:rsid w:val="418F7DB9"/>
    <w:rsid w:val="41913B31"/>
    <w:rsid w:val="41A41AB6"/>
    <w:rsid w:val="41A74FDC"/>
    <w:rsid w:val="41B25855"/>
    <w:rsid w:val="41BD4926"/>
    <w:rsid w:val="41BE244C"/>
    <w:rsid w:val="41C2018E"/>
    <w:rsid w:val="41C21BE4"/>
    <w:rsid w:val="41CF4659"/>
    <w:rsid w:val="41D8350E"/>
    <w:rsid w:val="41EE0F83"/>
    <w:rsid w:val="41F25EE6"/>
    <w:rsid w:val="41F33FC2"/>
    <w:rsid w:val="420A5691"/>
    <w:rsid w:val="421648A8"/>
    <w:rsid w:val="42360234"/>
    <w:rsid w:val="424961B9"/>
    <w:rsid w:val="424C7A58"/>
    <w:rsid w:val="42530DE6"/>
    <w:rsid w:val="42554B5E"/>
    <w:rsid w:val="42641245"/>
    <w:rsid w:val="42656816"/>
    <w:rsid w:val="42675FE8"/>
    <w:rsid w:val="4269060A"/>
    <w:rsid w:val="426D5376"/>
    <w:rsid w:val="4278091F"/>
    <w:rsid w:val="42786A9F"/>
    <w:rsid w:val="427907C8"/>
    <w:rsid w:val="42862F6A"/>
    <w:rsid w:val="428D254A"/>
    <w:rsid w:val="428E62C2"/>
    <w:rsid w:val="429A3EFC"/>
    <w:rsid w:val="42A653BA"/>
    <w:rsid w:val="42A67168"/>
    <w:rsid w:val="42B25919"/>
    <w:rsid w:val="42B3408E"/>
    <w:rsid w:val="42B850ED"/>
    <w:rsid w:val="42CA4B3F"/>
    <w:rsid w:val="42D00689"/>
    <w:rsid w:val="42E12896"/>
    <w:rsid w:val="42F308B1"/>
    <w:rsid w:val="42F94CA5"/>
    <w:rsid w:val="4303280C"/>
    <w:rsid w:val="431C0DEE"/>
    <w:rsid w:val="43210EE4"/>
    <w:rsid w:val="432A7D99"/>
    <w:rsid w:val="432B58BF"/>
    <w:rsid w:val="432F3601"/>
    <w:rsid w:val="432F53AF"/>
    <w:rsid w:val="4338369B"/>
    <w:rsid w:val="433B01F8"/>
    <w:rsid w:val="433B2D6F"/>
    <w:rsid w:val="43470FC7"/>
    <w:rsid w:val="434A043B"/>
    <w:rsid w:val="434A21E9"/>
    <w:rsid w:val="434B10DD"/>
    <w:rsid w:val="435D1A18"/>
    <w:rsid w:val="43615785"/>
    <w:rsid w:val="43654427"/>
    <w:rsid w:val="43B90306"/>
    <w:rsid w:val="43C43565"/>
    <w:rsid w:val="43CC52F4"/>
    <w:rsid w:val="43CE0EDD"/>
    <w:rsid w:val="43CF0940"/>
    <w:rsid w:val="43CF3AAE"/>
    <w:rsid w:val="43D16732"/>
    <w:rsid w:val="43DA6CD7"/>
    <w:rsid w:val="43DB1093"/>
    <w:rsid w:val="43DD7542"/>
    <w:rsid w:val="43E73EDC"/>
    <w:rsid w:val="43EE7018"/>
    <w:rsid w:val="43EF1335"/>
    <w:rsid w:val="43FE3CB8"/>
    <w:rsid w:val="440E1469"/>
    <w:rsid w:val="44226CC2"/>
    <w:rsid w:val="44270658"/>
    <w:rsid w:val="442742D8"/>
    <w:rsid w:val="442C18EF"/>
    <w:rsid w:val="44315157"/>
    <w:rsid w:val="444E5D09"/>
    <w:rsid w:val="44661919"/>
    <w:rsid w:val="44676DCB"/>
    <w:rsid w:val="4469780F"/>
    <w:rsid w:val="447339C1"/>
    <w:rsid w:val="44883346"/>
    <w:rsid w:val="44890AEF"/>
    <w:rsid w:val="448E6105"/>
    <w:rsid w:val="448F16EA"/>
    <w:rsid w:val="44974BC1"/>
    <w:rsid w:val="44A1408B"/>
    <w:rsid w:val="44A27E03"/>
    <w:rsid w:val="44C61D43"/>
    <w:rsid w:val="44D426B2"/>
    <w:rsid w:val="44DE708D"/>
    <w:rsid w:val="44E65F41"/>
    <w:rsid w:val="44E7583F"/>
    <w:rsid w:val="44E93C84"/>
    <w:rsid w:val="44F16719"/>
    <w:rsid w:val="44F234EF"/>
    <w:rsid w:val="44FC551F"/>
    <w:rsid w:val="44FF0DB1"/>
    <w:rsid w:val="45156827"/>
    <w:rsid w:val="45273F80"/>
    <w:rsid w:val="452758AE"/>
    <w:rsid w:val="452E61C6"/>
    <w:rsid w:val="45407AEF"/>
    <w:rsid w:val="455946D1"/>
    <w:rsid w:val="456652D4"/>
    <w:rsid w:val="456B6447"/>
    <w:rsid w:val="4574354D"/>
    <w:rsid w:val="45773368"/>
    <w:rsid w:val="45795008"/>
    <w:rsid w:val="457E261E"/>
    <w:rsid w:val="45813EBC"/>
    <w:rsid w:val="458A0FC3"/>
    <w:rsid w:val="45982F5F"/>
    <w:rsid w:val="45AC0035"/>
    <w:rsid w:val="45C73FC5"/>
    <w:rsid w:val="45CA511E"/>
    <w:rsid w:val="45CB49F3"/>
    <w:rsid w:val="45CD0EAF"/>
    <w:rsid w:val="45D36916"/>
    <w:rsid w:val="45E85CE9"/>
    <w:rsid w:val="45F75F2C"/>
    <w:rsid w:val="45F91F5D"/>
    <w:rsid w:val="4602799F"/>
    <w:rsid w:val="4605689B"/>
    <w:rsid w:val="46130FB8"/>
    <w:rsid w:val="46146ADE"/>
    <w:rsid w:val="46164604"/>
    <w:rsid w:val="461940F5"/>
    <w:rsid w:val="46256F3D"/>
    <w:rsid w:val="462907DC"/>
    <w:rsid w:val="463D2143"/>
    <w:rsid w:val="46411F54"/>
    <w:rsid w:val="46463061"/>
    <w:rsid w:val="46496788"/>
    <w:rsid w:val="46586568"/>
    <w:rsid w:val="46586D4B"/>
    <w:rsid w:val="465E3B36"/>
    <w:rsid w:val="466B2BA2"/>
    <w:rsid w:val="46873754"/>
    <w:rsid w:val="468E6891"/>
    <w:rsid w:val="469E4B31"/>
    <w:rsid w:val="46A2233C"/>
    <w:rsid w:val="46A240EA"/>
    <w:rsid w:val="46A43E3D"/>
    <w:rsid w:val="46AB11F1"/>
    <w:rsid w:val="46BC0A08"/>
    <w:rsid w:val="46BF4C9C"/>
    <w:rsid w:val="46BF6A4A"/>
    <w:rsid w:val="46CD560B"/>
    <w:rsid w:val="46D30D4F"/>
    <w:rsid w:val="46F16450"/>
    <w:rsid w:val="47030899"/>
    <w:rsid w:val="47053747"/>
    <w:rsid w:val="4708299B"/>
    <w:rsid w:val="470B1C8F"/>
    <w:rsid w:val="47170439"/>
    <w:rsid w:val="47174AD8"/>
    <w:rsid w:val="471964D3"/>
    <w:rsid w:val="471F573B"/>
    <w:rsid w:val="47226FD9"/>
    <w:rsid w:val="47264B58"/>
    <w:rsid w:val="47305B9A"/>
    <w:rsid w:val="473176DF"/>
    <w:rsid w:val="47370CD6"/>
    <w:rsid w:val="473B4A6F"/>
    <w:rsid w:val="474433F3"/>
    <w:rsid w:val="474451A1"/>
    <w:rsid w:val="475A49C5"/>
    <w:rsid w:val="4783216D"/>
    <w:rsid w:val="478832E0"/>
    <w:rsid w:val="478E2BD5"/>
    <w:rsid w:val="47937E30"/>
    <w:rsid w:val="47A3011A"/>
    <w:rsid w:val="47A63E71"/>
    <w:rsid w:val="47A65E5C"/>
    <w:rsid w:val="47C307BC"/>
    <w:rsid w:val="47D2609A"/>
    <w:rsid w:val="47D3493F"/>
    <w:rsid w:val="47D61A0B"/>
    <w:rsid w:val="47DB78B4"/>
    <w:rsid w:val="47EA5D49"/>
    <w:rsid w:val="47ED5839"/>
    <w:rsid w:val="47F3722E"/>
    <w:rsid w:val="47F60B91"/>
    <w:rsid w:val="47F72214"/>
    <w:rsid w:val="47FE7A46"/>
    <w:rsid w:val="480D18E1"/>
    <w:rsid w:val="481366AF"/>
    <w:rsid w:val="48166B3E"/>
    <w:rsid w:val="481B23A6"/>
    <w:rsid w:val="48483C8E"/>
    <w:rsid w:val="484C0975"/>
    <w:rsid w:val="48657AC5"/>
    <w:rsid w:val="48684EBF"/>
    <w:rsid w:val="4877040A"/>
    <w:rsid w:val="487D47D4"/>
    <w:rsid w:val="487E2EFD"/>
    <w:rsid w:val="487F2935"/>
    <w:rsid w:val="4887363D"/>
    <w:rsid w:val="488E2B78"/>
    <w:rsid w:val="48965ED0"/>
    <w:rsid w:val="48C02CB0"/>
    <w:rsid w:val="48C55157"/>
    <w:rsid w:val="48D013E2"/>
    <w:rsid w:val="48E46C3C"/>
    <w:rsid w:val="48EB621C"/>
    <w:rsid w:val="48EC083D"/>
    <w:rsid w:val="48F303CC"/>
    <w:rsid w:val="48F54724"/>
    <w:rsid w:val="48F67F8C"/>
    <w:rsid w:val="492E435B"/>
    <w:rsid w:val="493059DD"/>
    <w:rsid w:val="49382AE4"/>
    <w:rsid w:val="493A4AAE"/>
    <w:rsid w:val="493F0316"/>
    <w:rsid w:val="49566BF6"/>
    <w:rsid w:val="496B2165"/>
    <w:rsid w:val="49724248"/>
    <w:rsid w:val="498A6A6C"/>
    <w:rsid w:val="498C3781"/>
    <w:rsid w:val="49934449"/>
    <w:rsid w:val="499C7517"/>
    <w:rsid w:val="49AB59AC"/>
    <w:rsid w:val="49AD34D2"/>
    <w:rsid w:val="49B26D3A"/>
    <w:rsid w:val="49B36396"/>
    <w:rsid w:val="49B80221"/>
    <w:rsid w:val="49D942C7"/>
    <w:rsid w:val="49DA3B9B"/>
    <w:rsid w:val="49EE7713"/>
    <w:rsid w:val="49F66C27"/>
    <w:rsid w:val="49FC1D63"/>
    <w:rsid w:val="49FC20A6"/>
    <w:rsid w:val="4A003601"/>
    <w:rsid w:val="4A0B1FA6"/>
    <w:rsid w:val="4A123335"/>
    <w:rsid w:val="4A25750C"/>
    <w:rsid w:val="4A3459A1"/>
    <w:rsid w:val="4A3D6A87"/>
    <w:rsid w:val="4A4E6A63"/>
    <w:rsid w:val="4A5D6CA6"/>
    <w:rsid w:val="4A6F69D9"/>
    <w:rsid w:val="4A791459"/>
    <w:rsid w:val="4A851D59"/>
    <w:rsid w:val="4A875AD1"/>
    <w:rsid w:val="4A8F2BD7"/>
    <w:rsid w:val="4A91694F"/>
    <w:rsid w:val="4A963F66"/>
    <w:rsid w:val="4A9C3340"/>
    <w:rsid w:val="4A9F72BE"/>
    <w:rsid w:val="4AA91EEB"/>
    <w:rsid w:val="4AB32D6A"/>
    <w:rsid w:val="4AB36830"/>
    <w:rsid w:val="4AB4263E"/>
    <w:rsid w:val="4AB97C54"/>
    <w:rsid w:val="4AD056CA"/>
    <w:rsid w:val="4AD239F8"/>
    <w:rsid w:val="4AD4005B"/>
    <w:rsid w:val="4ADA20A4"/>
    <w:rsid w:val="4AE56B2F"/>
    <w:rsid w:val="4AE90040"/>
    <w:rsid w:val="4AEC1DD8"/>
    <w:rsid w:val="4AEF3676"/>
    <w:rsid w:val="4AF13892"/>
    <w:rsid w:val="4AF56EDE"/>
    <w:rsid w:val="4B0215FB"/>
    <w:rsid w:val="4B094738"/>
    <w:rsid w:val="4B0D06CC"/>
    <w:rsid w:val="4B125CE2"/>
    <w:rsid w:val="4B206185"/>
    <w:rsid w:val="4B2257F9"/>
    <w:rsid w:val="4B296B88"/>
    <w:rsid w:val="4B2C3957"/>
    <w:rsid w:val="4B2C55D8"/>
    <w:rsid w:val="4B321EE0"/>
    <w:rsid w:val="4B677B2F"/>
    <w:rsid w:val="4B7E5126"/>
    <w:rsid w:val="4B8169C4"/>
    <w:rsid w:val="4B8D35BB"/>
    <w:rsid w:val="4B8D64CE"/>
    <w:rsid w:val="4B9401F2"/>
    <w:rsid w:val="4B9506C1"/>
    <w:rsid w:val="4B971D44"/>
    <w:rsid w:val="4B9C1A50"/>
    <w:rsid w:val="4BA157E9"/>
    <w:rsid w:val="4BAB3A41"/>
    <w:rsid w:val="4BB072A9"/>
    <w:rsid w:val="4BB46D99"/>
    <w:rsid w:val="4BB87F0C"/>
    <w:rsid w:val="4BC56755"/>
    <w:rsid w:val="4BCD39B7"/>
    <w:rsid w:val="4BCF3098"/>
    <w:rsid w:val="4BDC009E"/>
    <w:rsid w:val="4BE859C8"/>
    <w:rsid w:val="4BF06E35"/>
    <w:rsid w:val="4BF6257B"/>
    <w:rsid w:val="4C055F72"/>
    <w:rsid w:val="4C070814"/>
    <w:rsid w:val="4C0849EF"/>
    <w:rsid w:val="4C101AF6"/>
    <w:rsid w:val="4C121D12"/>
    <w:rsid w:val="4C1772C8"/>
    <w:rsid w:val="4C1B0BC7"/>
    <w:rsid w:val="4C261319"/>
    <w:rsid w:val="4C2E3605"/>
    <w:rsid w:val="4C3E48B5"/>
    <w:rsid w:val="4C40062D"/>
    <w:rsid w:val="4C404189"/>
    <w:rsid w:val="4C5440D8"/>
    <w:rsid w:val="4C5E6D05"/>
    <w:rsid w:val="4C636B72"/>
    <w:rsid w:val="4C7107E7"/>
    <w:rsid w:val="4C742085"/>
    <w:rsid w:val="4C7E630D"/>
    <w:rsid w:val="4C83676C"/>
    <w:rsid w:val="4C9E5354"/>
    <w:rsid w:val="4CAE1A3B"/>
    <w:rsid w:val="4CBB5F06"/>
    <w:rsid w:val="4CCD7FCE"/>
    <w:rsid w:val="4CD44C91"/>
    <w:rsid w:val="4CDA3ADF"/>
    <w:rsid w:val="4CDA44B5"/>
    <w:rsid w:val="4CED0E58"/>
    <w:rsid w:val="4CFA0E2E"/>
    <w:rsid w:val="4D0A29E9"/>
    <w:rsid w:val="4D29404E"/>
    <w:rsid w:val="4D2D4BAA"/>
    <w:rsid w:val="4D396708"/>
    <w:rsid w:val="4D423F31"/>
    <w:rsid w:val="4D49433F"/>
    <w:rsid w:val="4D4D14B5"/>
    <w:rsid w:val="4D5676E0"/>
    <w:rsid w:val="4D6473B4"/>
    <w:rsid w:val="4D714816"/>
    <w:rsid w:val="4D75644C"/>
    <w:rsid w:val="4D7A467A"/>
    <w:rsid w:val="4D8308BE"/>
    <w:rsid w:val="4D956757"/>
    <w:rsid w:val="4D9D560B"/>
    <w:rsid w:val="4DC1579E"/>
    <w:rsid w:val="4DCB4939"/>
    <w:rsid w:val="4DCF7EBB"/>
    <w:rsid w:val="4DD454D1"/>
    <w:rsid w:val="4DDA685F"/>
    <w:rsid w:val="4DE1199C"/>
    <w:rsid w:val="4DF94F37"/>
    <w:rsid w:val="4DFF1E22"/>
    <w:rsid w:val="4E005816"/>
    <w:rsid w:val="4E1D3438"/>
    <w:rsid w:val="4E1E674C"/>
    <w:rsid w:val="4E21448E"/>
    <w:rsid w:val="4E214614"/>
    <w:rsid w:val="4E3F370C"/>
    <w:rsid w:val="4E465CA3"/>
    <w:rsid w:val="4E4A7541"/>
    <w:rsid w:val="4E4B32B9"/>
    <w:rsid w:val="4E503B4D"/>
    <w:rsid w:val="4E6E54A3"/>
    <w:rsid w:val="4E6F51FA"/>
    <w:rsid w:val="4E9C58D2"/>
    <w:rsid w:val="4EA2112B"/>
    <w:rsid w:val="4EAA7FE0"/>
    <w:rsid w:val="4EAB059E"/>
    <w:rsid w:val="4EB54731"/>
    <w:rsid w:val="4EB70E3E"/>
    <w:rsid w:val="4EBE20E6"/>
    <w:rsid w:val="4EC512BE"/>
    <w:rsid w:val="4ECD1F20"/>
    <w:rsid w:val="4EE2777A"/>
    <w:rsid w:val="4EED094E"/>
    <w:rsid w:val="4EFD57A9"/>
    <w:rsid w:val="4F26750A"/>
    <w:rsid w:val="4F35047B"/>
    <w:rsid w:val="4F376605"/>
    <w:rsid w:val="4F3D0E54"/>
    <w:rsid w:val="4F4A531F"/>
    <w:rsid w:val="4F534522"/>
    <w:rsid w:val="4F5368C9"/>
    <w:rsid w:val="4F5C39D0"/>
    <w:rsid w:val="4F6603AB"/>
    <w:rsid w:val="4F7F4677"/>
    <w:rsid w:val="4F7F4E05"/>
    <w:rsid w:val="4F8C5EB6"/>
    <w:rsid w:val="4F8F3EFB"/>
    <w:rsid w:val="4FA95DC1"/>
    <w:rsid w:val="4FB13D41"/>
    <w:rsid w:val="4FD55530"/>
    <w:rsid w:val="4FDA3E42"/>
    <w:rsid w:val="4FF26DF5"/>
    <w:rsid w:val="4FFC486B"/>
    <w:rsid w:val="50067498"/>
    <w:rsid w:val="500F7081"/>
    <w:rsid w:val="501047BA"/>
    <w:rsid w:val="502A67A6"/>
    <w:rsid w:val="502D50C3"/>
    <w:rsid w:val="505042BC"/>
    <w:rsid w:val="5055041F"/>
    <w:rsid w:val="506202F9"/>
    <w:rsid w:val="50630D8E"/>
    <w:rsid w:val="506F7733"/>
    <w:rsid w:val="5072363C"/>
    <w:rsid w:val="507444E5"/>
    <w:rsid w:val="50770396"/>
    <w:rsid w:val="508D7BB9"/>
    <w:rsid w:val="50942B39"/>
    <w:rsid w:val="509B22D6"/>
    <w:rsid w:val="50A70C7B"/>
    <w:rsid w:val="50A82C45"/>
    <w:rsid w:val="50CA6717"/>
    <w:rsid w:val="50D852D8"/>
    <w:rsid w:val="50E023DF"/>
    <w:rsid w:val="50E172E3"/>
    <w:rsid w:val="50EB4F43"/>
    <w:rsid w:val="50EF43D0"/>
    <w:rsid w:val="50EF617E"/>
    <w:rsid w:val="50EF7050"/>
    <w:rsid w:val="50F9524E"/>
    <w:rsid w:val="50FA46AA"/>
    <w:rsid w:val="51031C29"/>
    <w:rsid w:val="510734C7"/>
    <w:rsid w:val="51216C22"/>
    <w:rsid w:val="51265514"/>
    <w:rsid w:val="51341C00"/>
    <w:rsid w:val="51475FBA"/>
    <w:rsid w:val="51501312"/>
    <w:rsid w:val="515678E9"/>
    <w:rsid w:val="51960CEF"/>
    <w:rsid w:val="519D207E"/>
    <w:rsid w:val="51A64986"/>
    <w:rsid w:val="51A96C75"/>
    <w:rsid w:val="51BF1FF4"/>
    <w:rsid w:val="51D16C1A"/>
    <w:rsid w:val="51D51818"/>
    <w:rsid w:val="51DA5080"/>
    <w:rsid w:val="51DD5BE3"/>
    <w:rsid w:val="51E47906"/>
    <w:rsid w:val="51E90E1F"/>
    <w:rsid w:val="51EB103B"/>
    <w:rsid w:val="51F779E0"/>
    <w:rsid w:val="520259FF"/>
    <w:rsid w:val="52043EAB"/>
    <w:rsid w:val="5212621E"/>
    <w:rsid w:val="521265C8"/>
    <w:rsid w:val="521552CA"/>
    <w:rsid w:val="521E1A19"/>
    <w:rsid w:val="522307D5"/>
    <w:rsid w:val="522B0225"/>
    <w:rsid w:val="523A167B"/>
    <w:rsid w:val="52466271"/>
    <w:rsid w:val="52530CD3"/>
    <w:rsid w:val="525A1D1D"/>
    <w:rsid w:val="526D37FE"/>
    <w:rsid w:val="528173EF"/>
    <w:rsid w:val="52862B12"/>
    <w:rsid w:val="528B0128"/>
    <w:rsid w:val="528E3835"/>
    <w:rsid w:val="52905E25"/>
    <w:rsid w:val="52962054"/>
    <w:rsid w:val="52974D1F"/>
    <w:rsid w:val="52A01B73"/>
    <w:rsid w:val="52AF11A9"/>
    <w:rsid w:val="52BB406D"/>
    <w:rsid w:val="52BC4786"/>
    <w:rsid w:val="52CA0C50"/>
    <w:rsid w:val="52CD6993"/>
    <w:rsid w:val="52D932D0"/>
    <w:rsid w:val="52DD4E28"/>
    <w:rsid w:val="52EF06B7"/>
    <w:rsid w:val="52F97788"/>
    <w:rsid w:val="530C1269"/>
    <w:rsid w:val="531B5950"/>
    <w:rsid w:val="531B5FBD"/>
    <w:rsid w:val="532540D9"/>
    <w:rsid w:val="53272C1E"/>
    <w:rsid w:val="53277E51"/>
    <w:rsid w:val="53394028"/>
    <w:rsid w:val="533D4D64"/>
    <w:rsid w:val="5341311F"/>
    <w:rsid w:val="534E1882"/>
    <w:rsid w:val="535350EA"/>
    <w:rsid w:val="53580AEC"/>
    <w:rsid w:val="535A6478"/>
    <w:rsid w:val="53642E53"/>
    <w:rsid w:val="536B290F"/>
    <w:rsid w:val="537A4F37"/>
    <w:rsid w:val="537D0D49"/>
    <w:rsid w:val="53870D4D"/>
    <w:rsid w:val="538739F4"/>
    <w:rsid w:val="53A45110"/>
    <w:rsid w:val="53AC65A8"/>
    <w:rsid w:val="53B042EA"/>
    <w:rsid w:val="53B0653B"/>
    <w:rsid w:val="53B8319F"/>
    <w:rsid w:val="53C47D96"/>
    <w:rsid w:val="53D1600F"/>
    <w:rsid w:val="53D55AFF"/>
    <w:rsid w:val="53DA67BA"/>
    <w:rsid w:val="53DF697E"/>
    <w:rsid w:val="53E73A84"/>
    <w:rsid w:val="53E775E0"/>
    <w:rsid w:val="53FB3447"/>
    <w:rsid w:val="54091C4C"/>
    <w:rsid w:val="542425E2"/>
    <w:rsid w:val="5426635A"/>
    <w:rsid w:val="54447157"/>
    <w:rsid w:val="54462559"/>
    <w:rsid w:val="54554E92"/>
    <w:rsid w:val="54604B65"/>
    <w:rsid w:val="54640C31"/>
    <w:rsid w:val="546E7D01"/>
    <w:rsid w:val="54790B80"/>
    <w:rsid w:val="54806B30"/>
    <w:rsid w:val="54830916"/>
    <w:rsid w:val="548D462B"/>
    <w:rsid w:val="549827A5"/>
    <w:rsid w:val="54984490"/>
    <w:rsid w:val="549B4FCF"/>
    <w:rsid w:val="54A47A80"/>
    <w:rsid w:val="54A6749B"/>
    <w:rsid w:val="54B02759"/>
    <w:rsid w:val="54B3589D"/>
    <w:rsid w:val="54B509EE"/>
    <w:rsid w:val="54C47921"/>
    <w:rsid w:val="54D45DB6"/>
    <w:rsid w:val="54D74270"/>
    <w:rsid w:val="54D9517B"/>
    <w:rsid w:val="54DC1E17"/>
    <w:rsid w:val="54DC4C6B"/>
    <w:rsid w:val="54DF13E7"/>
    <w:rsid w:val="54E40912"/>
    <w:rsid w:val="54E56216"/>
    <w:rsid w:val="54E57B65"/>
    <w:rsid w:val="54F31AB6"/>
    <w:rsid w:val="54FC530D"/>
    <w:rsid w:val="550000C0"/>
    <w:rsid w:val="550A5C7C"/>
    <w:rsid w:val="550B0F24"/>
    <w:rsid w:val="55180399"/>
    <w:rsid w:val="55197C6D"/>
    <w:rsid w:val="551E6256"/>
    <w:rsid w:val="5523289A"/>
    <w:rsid w:val="552865AE"/>
    <w:rsid w:val="553B4087"/>
    <w:rsid w:val="553C0B33"/>
    <w:rsid w:val="553D1BAE"/>
    <w:rsid w:val="5557763D"/>
    <w:rsid w:val="556F788D"/>
    <w:rsid w:val="55733F14"/>
    <w:rsid w:val="5577634B"/>
    <w:rsid w:val="557E457E"/>
    <w:rsid w:val="55886BA1"/>
    <w:rsid w:val="558F7F2F"/>
    <w:rsid w:val="55911EF9"/>
    <w:rsid w:val="5594267A"/>
    <w:rsid w:val="55A0038E"/>
    <w:rsid w:val="55C23658"/>
    <w:rsid w:val="55C73B6D"/>
    <w:rsid w:val="55DF0EB7"/>
    <w:rsid w:val="55E06161"/>
    <w:rsid w:val="55F15A89"/>
    <w:rsid w:val="55F54236"/>
    <w:rsid w:val="55F83D27"/>
    <w:rsid w:val="55FA184D"/>
    <w:rsid w:val="55FA2C6E"/>
    <w:rsid w:val="55FB2A84"/>
    <w:rsid w:val="56024BA5"/>
    <w:rsid w:val="561C60C1"/>
    <w:rsid w:val="561E17E2"/>
    <w:rsid w:val="561F5757"/>
    <w:rsid w:val="56214A18"/>
    <w:rsid w:val="56226FF5"/>
    <w:rsid w:val="562B7C58"/>
    <w:rsid w:val="56446F6C"/>
    <w:rsid w:val="56487BA0"/>
    <w:rsid w:val="56551179"/>
    <w:rsid w:val="565E627F"/>
    <w:rsid w:val="5664316A"/>
    <w:rsid w:val="566B62A7"/>
    <w:rsid w:val="567C6706"/>
    <w:rsid w:val="567D7625"/>
    <w:rsid w:val="568E4D67"/>
    <w:rsid w:val="569577C7"/>
    <w:rsid w:val="569F0646"/>
    <w:rsid w:val="56A1616C"/>
    <w:rsid w:val="56A63783"/>
    <w:rsid w:val="56A7004F"/>
    <w:rsid w:val="56A70289"/>
    <w:rsid w:val="56AF0889"/>
    <w:rsid w:val="56C3773E"/>
    <w:rsid w:val="56CD0D0F"/>
    <w:rsid w:val="56DD51AA"/>
    <w:rsid w:val="56DF6C95"/>
    <w:rsid w:val="56EB70CF"/>
    <w:rsid w:val="56F049FE"/>
    <w:rsid w:val="56F6276E"/>
    <w:rsid w:val="56F95FA8"/>
    <w:rsid w:val="56FF1292"/>
    <w:rsid w:val="57016C0B"/>
    <w:rsid w:val="570D735E"/>
    <w:rsid w:val="57183B71"/>
    <w:rsid w:val="571E5A0F"/>
    <w:rsid w:val="572172AD"/>
    <w:rsid w:val="572442C1"/>
    <w:rsid w:val="572528F9"/>
    <w:rsid w:val="57340470"/>
    <w:rsid w:val="573501DE"/>
    <w:rsid w:val="57371BC5"/>
    <w:rsid w:val="57585396"/>
    <w:rsid w:val="57601B83"/>
    <w:rsid w:val="57723665"/>
    <w:rsid w:val="57747482"/>
    <w:rsid w:val="577479A3"/>
    <w:rsid w:val="577B69BD"/>
    <w:rsid w:val="57867D94"/>
    <w:rsid w:val="578A4E52"/>
    <w:rsid w:val="5798124F"/>
    <w:rsid w:val="579B705F"/>
    <w:rsid w:val="57C00874"/>
    <w:rsid w:val="57CD0BA5"/>
    <w:rsid w:val="57CF0F37"/>
    <w:rsid w:val="57F16C7F"/>
    <w:rsid w:val="58044C05"/>
    <w:rsid w:val="580D791A"/>
    <w:rsid w:val="58134E48"/>
    <w:rsid w:val="58207565"/>
    <w:rsid w:val="58276096"/>
    <w:rsid w:val="58276B45"/>
    <w:rsid w:val="582B03E3"/>
    <w:rsid w:val="58311772"/>
    <w:rsid w:val="583E14ED"/>
    <w:rsid w:val="58497834"/>
    <w:rsid w:val="584C252F"/>
    <w:rsid w:val="584E5E80"/>
    <w:rsid w:val="58550FBC"/>
    <w:rsid w:val="585A4825"/>
    <w:rsid w:val="58615653"/>
    <w:rsid w:val="58702BC0"/>
    <w:rsid w:val="58704048"/>
    <w:rsid w:val="58705DF6"/>
    <w:rsid w:val="58893182"/>
    <w:rsid w:val="5889510A"/>
    <w:rsid w:val="58935F89"/>
    <w:rsid w:val="589F66DB"/>
    <w:rsid w:val="58A75590"/>
    <w:rsid w:val="58B04375"/>
    <w:rsid w:val="58B32187"/>
    <w:rsid w:val="58B54151"/>
    <w:rsid w:val="58C35579"/>
    <w:rsid w:val="58C425E6"/>
    <w:rsid w:val="58C44394"/>
    <w:rsid w:val="58C83E84"/>
    <w:rsid w:val="58CB127E"/>
    <w:rsid w:val="58DE5456"/>
    <w:rsid w:val="58E16032"/>
    <w:rsid w:val="58F13AAF"/>
    <w:rsid w:val="58FE1654"/>
    <w:rsid w:val="590A1F1E"/>
    <w:rsid w:val="590C2C90"/>
    <w:rsid w:val="59110CA0"/>
    <w:rsid w:val="591304B3"/>
    <w:rsid w:val="591A24CC"/>
    <w:rsid w:val="591F172A"/>
    <w:rsid w:val="59254E33"/>
    <w:rsid w:val="59367EC7"/>
    <w:rsid w:val="593E4146"/>
    <w:rsid w:val="59451FCE"/>
    <w:rsid w:val="594554D5"/>
    <w:rsid w:val="59475512"/>
    <w:rsid w:val="594E7982"/>
    <w:rsid w:val="595869C5"/>
    <w:rsid w:val="596B5D20"/>
    <w:rsid w:val="5982373F"/>
    <w:rsid w:val="59883613"/>
    <w:rsid w:val="598A2EE8"/>
    <w:rsid w:val="598C540C"/>
    <w:rsid w:val="598D656A"/>
    <w:rsid w:val="59961862"/>
    <w:rsid w:val="59A31EB1"/>
    <w:rsid w:val="59AD6BD6"/>
    <w:rsid w:val="59AF0BA0"/>
    <w:rsid w:val="59B166C6"/>
    <w:rsid w:val="59B461B6"/>
    <w:rsid w:val="59B83EF9"/>
    <w:rsid w:val="59B9510A"/>
    <w:rsid w:val="59BB5797"/>
    <w:rsid w:val="59BE0DE3"/>
    <w:rsid w:val="59DF76D7"/>
    <w:rsid w:val="59E20F76"/>
    <w:rsid w:val="59E7033A"/>
    <w:rsid w:val="59EE791A"/>
    <w:rsid w:val="5A040EEC"/>
    <w:rsid w:val="5A056A12"/>
    <w:rsid w:val="5A113609"/>
    <w:rsid w:val="5A132EDD"/>
    <w:rsid w:val="5A19426B"/>
    <w:rsid w:val="5A1D5B0A"/>
    <w:rsid w:val="5A204B50"/>
    <w:rsid w:val="5A2111BA"/>
    <w:rsid w:val="5A236E98"/>
    <w:rsid w:val="5A3317D1"/>
    <w:rsid w:val="5A5654C0"/>
    <w:rsid w:val="5A5A4FB0"/>
    <w:rsid w:val="5A663A32"/>
    <w:rsid w:val="5A6944B2"/>
    <w:rsid w:val="5A932270"/>
    <w:rsid w:val="5A940198"/>
    <w:rsid w:val="5AAC50E0"/>
    <w:rsid w:val="5AB20948"/>
    <w:rsid w:val="5ABE7745"/>
    <w:rsid w:val="5ACC1F22"/>
    <w:rsid w:val="5ADE798F"/>
    <w:rsid w:val="5AFB1B77"/>
    <w:rsid w:val="5B013F65"/>
    <w:rsid w:val="5B0D2022"/>
    <w:rsid w:val="5B0F4685"/>
    <w:rsid w:val="5B1644E5"/>
    <w:rsid w:val="5B242EC8"/>
    <w:rsid w:val="5B284F22"/>
    <w:rsid w:val="5B2D7FCE"/>
    <w:rsid w:val="5B2E3D47"/>
    <w:rsid w:val="5B322881"/>
    <w:rsid w:val="5B335798"/>
    <w:rsid w:val="5B3550D5"/>
    <w:rsid w:val="5B480E39"/>
    <w:rsid w:val="5B57504B"/>
    <w:rsid w:val="5B5B0FE0"/>
    <w:rsid w:val="5B61236E"/>
    <w:rsid w:val="5B7A27F4"/>
    <w:rsid w:val="5B8544A8"/>
    <w:rsid w:val="5B857E0A"/>
    <w:rsid w:val="5B8878FB"/>
    <w:rsid w:val="5B8A0BEC"/>
    <w:rsid w:val="5B8F0C89"/>
    <w:rsid w:val="5BA83AF9"/>
    <w:rsid w:val="5BAF30D9"/>
    <w:rsid w:val="5BB73D3C"/>
    <w:rsid w:val="5BCD411F"/>
    <w:rsid w:val="5BD26DC8"/>
    <w:rsid w:val="5BD4669C"/>
    <w:rsid w:val="5BD80301"/>
    <w:rsid w:val="5BE72873"/>
    <w:rsid w:val="5BF70D27"/>
    <w:rsid w:val="5C150625"/>
    <w:rsid w:val="5C2A24AE"/>
    <w:rsid w:val="5C337866"/>
    <w:rsid w:val="5C3435DF"/>
    <w:rsid w:val="5C451348"/>
    <w:rsid w:val="5C591079"/>
    <w:rsid w:val="5C6C0FCA"/>
    <w:rsid w:val="5C6F4E0F"/>
    <w:rsid w:val="5C7120A1"/>
    <w:rsid w:val="5C797243"/>
    <w:rsid w:val="5C855BE8"/>
    <w:rsid w:val="5C9D5A17"/>
    <w:rsid w:val="5CA22C3E"/>
    <w:rsid w:val="5CB22F3F"/>
    <w:rsid w:val="5CC11316"/>
    <w:rsid w:val="5CC44962"/>
    <w:rsid w:val="5CC6692D"/>
    <w:rsid w:val="5CCA03B6"/>
    <w:rsid w:val="5CD77B3F"/>
    <w:rsid w:val="5CDA5F34"/>
    <w:rsid w:val="5CE46DB3"/>
    <w:rsid w:val="5CEC5C67"/>
    <w:rsid w:val="5CEF70E1"/>
    <w:rsid w:val="5CF7454C"/>
    <w:rsid w:val="5D02548B"/>
    <w:rsid w:val="5D0607CD"/>
    <w:rsid w:val="5D086F45"/>
    <w:rsid w:val="5D213E13"/>
    <w:rsid w:val="5D324914"/>
    <w:rsid w:val="5D331AE8"/>
    <w:rsid w:val="5D3333EB"/>
    <w:rsid w:val="5D3A60FB"/>
    <w:rsid w:val="5D3B34AC"/>
    <w:rsid w:val="5D55382D"/>
    <w:rsid w:val="5D577585"/>
    <w:rsid w:val="5D5C4B9B"/>
    <w:rsid w:val="5D610403"/>
    <w:rsid w:val="5D635F29"/>
    <w:rsid w:val="5D796123"/>
    <w:rsid w:val="5D797461"/>
    <w:rsid w:val="5D902A97"/>
    <w:rsid w:val="5D971AA4"/>
    <w:rsid w:val="5D9A56C3"/>
    <w:rsid w:val="5DA36C6E"/>
    <w:rsid w:val="5DA87DE0"/>
    <w:rsid w:val="5DAB4669"/>
    <w:rsid w:val="5DC30ED0"/>
    <w:rsid w:val="5DCC191C"/>
    <w:rsid w:val="5DD0462F"/>
    <w:rsid w:val="5DD07337"/>
    <w:rsid w:val="5DD71955"/>
    <w:rsid w:val="5DDB01B6"/>
    <w:rsid w:val="5DDC3F2E"/>
    <w:rsid w:val="5DDF68CC"/>
    <w:rsid w:val="5DE74DAC"/>
    <w:rsid w:val="5DEB7AC7"/>
    <w:rsid w:val="5DEC23C3"/>
    <w:rsid w:val="5DED795F"/>
    <w:rsid w:val="5DF47470"/>
    <w:rsid w:val="5DFA0943"/>
    <w:rsid w:val="5E08524A"/>
    <w:rsid w:val="5E086AD1"/>
    <w:rsid w:val="5E196F30"/>
    <w:rsid w:val="5E1A6B31"/>
    <w:rsid w:val="5E1B2CA8"/>
    <w:rsid w:val="5E227B93"/>
    <w:rsid w:val="5E37325F"/>
    <w:rsid w:val="5E457D25"/>
    <w:rsid w:val="5E473A9D"/>
    <w:rsid w:val="5E5341F0"/>
    <w:rsid w:val="5E6006BB"/>
    <w:rsid w:val="5E6C3504"/>
    <w:rsid w:val="5E745606"/>
    <w:rsid w:val="5E7E05A8"/>
    <w:rsid w:val="5E7E6D93"/>
    <w:rsid w:val="5E8048B9"/>
    <w:rsid w:val="5E916AC6"/>
    <w:rsid w:val="5E930773"/>
    <w:rsid w:val="5E9345EC"/>
    <w:rsid w:val="5E96232F"/>
    <w:rsid w:val="5E9D34E8"/>
    <w:rsid w:val="5E9F1ACB"/>
    <w:rsid w:val="5EA06AA6"/>
    <w:rsid w:val="5EA467FA"/>
    <w:rsid w:val="5EA762EA"/>
    <w:rsid w:val="5EAA5DDA"/>
    <w:rsid w:val="5EB44B9A"/>
    <w:rsid w:val="5EB56C59"/>
    <w:rsid w:val="5EBA0F8E"/>
    <w:rsid w:val="5EBB3B43"/>
    <w:rsid w:val="5EBE53E1"/>
    <w:rsid w:val="5ED370DF"/>
    <w:rsid w:val="5EF32C06"/>
    <w:rsid w:val="5EFD0600"/>
    <w:rsid w:val="5F0B5CF5"/>
    <w:rsid w:val="5F0B6879"/>
    <w:rsid w:val="5F1078F1"/>
    <w:rsid w:val="5F155949"/>
    <w:rsid w:val="5F27595B"/>
    <w:rsid w:val="5F36141C"/>
    <w:rsid w:val="5F427DC1"/>
    <w:rsid w:val="5F49114F"/>
    <w:rsid w:val="5F5B2128"/>
    <w:rsid w:val="5F6441DB"/>
    <w:rsid w:val="5F70492E"/>
    <w:rsid w:val="5F7C44C9"/>
    <w:rsid w:val="5F831A87"/>
    <w:rsid w:val="5F993E84"/>
    <w:rsid w:val="5F9E593F"/>
    <w:rsid w:val="5FBE38EB"/>
    <w:rsid w:val="5FC15189"/>
    <w:rsid w:val="5FCE501B"/>
    <w:rsid w:val="5FD70E51"/>
    <w:rsid w:val="5FD77C9B"/>
    <w:rsid w:val="5FEB0FA6"/>
    <w:rsid w:val="5FED5F7E"/>
    <w:rsid w:val="60194FC5"/>
    <w:rsid w:val="6025396A"/>
    <w:rsid w:val="603319B7"/>
    <w:rsid w:val="60332247"/>
    <w:rsid w:val="603C75C9"/>
    <w:rsid w:val="604C7149"/>
    <w:rsid w:val="60501FDB"/>
    <w:rsid w:val="60536017"/>
    <w:rsid w:val="60567FC7"/>
    <w:rsid w:val="60574F7A"/>
    <w:rsid w:val="6057789C"/>
    <w:rsid w:val="606D714B"/>
    <w:rsid w:val="60716BAF"/>
    <w:rsid w:val="607466A0"/>
    <w:rsid w:val="607B7A2E"/>
    <w:rsid w:val="60840DC4"/>
    <w:rsid w:val="609A4D89"/>
    <w:rsid w:val="60AF7380"/>
    <w:rsid w:val="60B00E9D"/>
    <w:rsid w:val="60CE4002"/>
    <w:rsid w:val="60DF1D6B"/>
    <w:rsid w:val="60E23609"/>
    <w:rsid w:val="60F26A63"/>
    <w:rsid w:val="60F375C4"/>
    <w:rsid w:val="610051C7"/>
    <w:rsid w:val="610D4572"/>
    <w:rsid w:val="61102019"/>
    <w:rsid w:val="611539DF"/>
    <w:rsid w:val="61170069"/>
    <w:rsid w:val="611834CF"/>
    <w:rsid w:val="611A41FB"/>
    <w:rsid w:val="611D0AE5"/>
    <w:rsid w:val="61273712"/>
    <w:rsid w:val="61371BA7"/>
    <w:rsid w:val="61406582"/>
    <w:rsid w:val="6151078F"/>
    <w:rsid w:val="615149CE"/>
    <w:rsid w:val="61532759"/>
    <w:rsid w:val="61545938"/>
    <w:rsid w:val="61551211"/>
    <w:rsid w:val="6166544F"/>
    <w:rsid w:val="616B35FF"/>
    <w:rsid w:val="617526CF"/>
    <w:rsid w:val="617A7CE6"/>
    <w:rsid w:val="61860438"/>
    <w:rsid w:val="618942FF"/>
    <w:rsid w:val="619012B7"/>
    <w:rsid w:val="619B0311"/>
    <w:rsid w:val="619C449B"/>
    <w:rsid w:val="61A7575F"/>
    <w:rsid w:val="61A87F15"/>
    <w:rsid w:val="61B72CE8"/>
    <w:rsid w:val="61BE4076"/>
    <w:rsid w:val="61C777A9"/>
    <w:rsid w:val="61D03DA9"/>
    <w:rsid w:val="61D17319"/>
    <w:rsid w:val="61E450E3"/>
    <w:rsid w:val="61E635CD"/>
    <w:rsid w:val="61F555BE"/>
    <w:rsid w:val="61F736C3"/>
    <w:rsid w:val="61FC06FB"/>
    <w:rsid w:val="620121B5"/>
    <w:rsid w:val="62092E18"/>
    <w:rsid w:val="621974FF"/>
    <w:rsid w:val="621A5025"/>
    <w:rsid w:val="621E2D67"/>
    <w:rsid w:val="622735E4"/>
    <w:rsid w:val="622F0267"/>
    <w:rsid w:val="62373E29"/>
    <w:rsid w:val="62382C58"/>
    <w:rsid w:val="623C31ED"/>
    <w:rsid w:val="623F140B"/>
    <w:rsid w:val="623F6839"/>
    <w:rsid w:val="625E3163"/>
    <w:rsid w:val="6266691D"/>
    <w:rsid w:val="626E56A9"/>
    <w:rsid w:val="627D7A8D"/>
    <w:rsid w:val="627E3805"/>
    <w:rsid w:val="62812E28"/>
    <w:rsid w:val="6283706E"/>
    <w:rsid w:val="62960B4F"/>
    <w:rsid w:val="62A72D5C"/>
    <w:rsid w:val="62C07D08"/>
    <w:rsid w:val="62C456BC"/>
    <w:rsid w:val="62C7367F"/>
    <w:rsid w:val="62C751AC"/>
    <w:rsid w:val="62D03DC5"/>
    <w:rsid w:val="62D376AD"/>
    <w:rsid w:val="62D41677"/>
    <w:rsid w:val="62D653F0"/>
    <w:rsid w:val="62D96C8E"/>
    <w:rsid w:val="62DE3608"/>
    <w:rsid w:val="62E41B8A"/>
    <w:rsid w:val="62E53885"/>
    <w:rsid w:val="62E643B9"/>
    <w:rsid w:val="62EE098B"/>
    <w:rsid w:val="62F12229"/>
    <w:rsid w:val="62F22E09"/>
    <w:rsid w:val="63161C90"/>
    <w:rsid w:val="631A352E"/>
    <w:rsid w:val="631D6B7A"/>
    <w:rsid w:val="6327656B"/>
    <w:rsid w:val="632E6FDA"/>
    <w:rsid w:val="63367C3C"/>
    <w:rsid w:val="633F4D43"/>
    <w:rsid w:val="634431BA"/>
    <w:rsid w:val="634436DA"/>
    <w:rsid w:val="634560D1"/>
    <w:rsid w:val="63486E9F"/>
    <w:rsid w:val="634C56B2"/>
    <w:rsid w:val="634E4F86"/>
    <w:rsid w:val="63512CC8"/>
    <w:rsid w:val="635D78BF"/>
    <w:rsid w:val="636538F3"/>
    <w:rsid w:val="63696264"/>
    <w:rsid w:val="636C7B02"/>
    <w:rsid w:val="63711318"/>
    <w:rsid w:val="637569B7"/>
    <w:rsid w:val="638D67F3"/>
    <w:rsid w:val="63974B7F"/>
    <w:rsid w:val="639875CC"/>
    <w:rsid w:val="639D3C37"/>
    <w:rsid w:val="639D5F0D"/>
    <w:rsid w:val="63A9322D"/>
    <w:rsid w:val="63B15515"/>
    <w:rsid w:val="63C65464"/>
    <w:rsid w:val="63C879BB"/>
    <w:rsid w:val="63CB3AB3"/>
    <w:rsid w:val="63CE5A42"/>
    <w:rsid w:val="63D3192F"/>
    <w:rsid w:val="63D40E7F"/>
    <w:rsid w:val="63EC607B"/>
    <w:rsid w:val="63F2336E"/>
    <w:rsid w:val="63F8233D"/>
    <w:rsid w:val="63FA510E"/>
    <w:rsid w:val="63FB02A0"/>
    <w:rsid w:val="64033FC2"/>
    <w:rsid w:val="64103515"/>
    <w:rsid w:val="64112FF4"/>
    <w:rsid w:val="641937E6"/>
    <w:rsid w:val="641C32D6"/>
    <w:rsid w:val="6421269A"/>
    <w:rsid w:val="643423CE"/>
    <w:rsid w:val="64383FFB"/>
    <w:rsid w:val="643C00DE"/>
    <w:rsid w:val="643C1282"/>
    <w:rsid w:val="64405216"/>
    <w:rsid w:val="645111D2"/>
    <w:rsid w:val="64580187"/>
    <w:rsid w:val="645C36D2"/>
    <w:rsid w:val="645D4770"/>
    <w:rsid w:val="64672913"/>
    <w:rsid w:val="64681176"/>
    <w:rsid w:val="646D58E0"/>
    <w:rsid w:val="64713622"/>
    <w:rsid w:val="647933CC"/>
    <w:rsid w:val="647958F8"/>
    <w:rsid w:val="647B6F42"/>
    <w:rsid w:val="64836EB1"/>
    <w:rsid w:val="6488764B"/>
    <w:rsid w:val="64964E36"/>
    <w:rsid w:val="64990483"/>
    <w:rsid w:val="649B41FB"/>
    <w:rsid w:val="649C7F73"/>
    <w:rsid w:val="64A86918"/>
    <w:rsid w:val="64B11C70"/>
    <w:rsid w:val="64B33C3A"/>
    <w:rsid w:val="64BC3A1E"/>
    <w:rsid w:val="64CC729A"/>
    <w:rsid w:val="64CE2822"/>
    <w:rsid w:val="64EE4C72"/>
    <w:rsid w:val="64F12F62"/>
    <w:rsid w:val="64F61D79"/>
    <w:rsid w:val="6502071E"/>
    <w:rsid w:val="65047ED3"/>
    <w:rsid w:val="650A5824"/>
    <w:rsid w:val="650C50F9"/>
    <w:rsid w:val="65102E3B"/>
    <w:rsid w:val="651657F6"/>
    <w:rsid w:val="651B358E"/>
    <w:rsid w:val="65210715"/>
    <w:rsid w:val="653D6509"/>
    <w:rsid w:val="65403C86"/>
    <w:rsid w:val="654839FF"/>
    <w:rsid w:val="654C7BEB"/>
    <w:rsid w:val="655069AC"/>
    <w:rsid w:val="655D4175"/>
    <w:rsid w:val="655F347A"/>
    <w:rsid w:val="65640A91"/>
    <w:rsid w:val="65674A25"/>
    <w:rsid w:val="65A307FF"/>
    <w:rsid w:val="65A43583"/>
    <w:rsid w:val="65B00D5D"/>
    <w:rsid w:val="65B03CD6"/>
    <w:rsid w:val="65C43C25"/>
    <w:rsid w:val="65C50EF1"/>
    <w:rsid w:val="65C85707"/>
    <w:rsid w:val="65CE6852"/>
    <w:rsid w:val="65D04378"/>
    <w:rsid w:val="65E16585"/>
    <w:rsid w:val="65E859C6"/>
    <w:rsid w:val="65E87E33"/>
    <w:rsid w:val="65EF1956"/>
    <w:rsid w:val="65F72CEE"/>
    <w:rsid w:val="66012783"/>
    <w:rsid w:val="660914EB"/>
    <w:rsid w:val="66173FFF"/>
    <w:rsid w:val="661A1A97"/>
    <w:rsid w:val="66285F62"/>
    <w:rsid w:val="662925FC"/>
    <w:rsid w:val="662F6022"/>
    <w:rsid w:val="663A5C95"/>
    <w:rsid w:val="664762E9"/>
    <w:rsid w:val="664A412A"/>
    <w:rsid w:val="66507267"/>
    <w:rsid w:val="665A00E6"/>
    <w:rsid w:val="6664360E"/>
    <w:rsid w:val="666E1FEF"/>
    <w:rsid w:val="667B0788"/>
    <w:rsid w:val="6683763C"/>
    <w:rsid w:val="66882EA5"/>
    <w:rsid w:val="668B64F1"/>
    <w:rsid w:val="669E4476"/>
    <w:rsid w:val="669E6224"/>
    <w:rsid w:val="66A35A4A"/>
    <w:rsid w:val="66A7157D"/>
    <w:rsid w:val="66AC7169"/>
    <w:rsid w:val="66AD6467"/>
    <w:rsid w:val="66B141AA"/>
    <w:rsid w:val="66B6356E"/>
    <w:rsid w:val="66B71094"/>
    <w:rsid w:val="66B9427D"/>
    <w:rsid w:val="66C70F0A"/>
    <w:rsid w:val="66CA35D3"/>
    <w:rsid w:val="66CA3897"/>
    <w:rsid w:val="66CF2882"/>
    <w:rsid w:val="66DA41AF"/>
    <w:rsid w:val="66ED1B60"/>
    <w:rsid w:val="66EF4CD2"/>
    <w:rsid w:val="67000CC4"/>
    <w:rsid w:val="6703252B"/>
    <w:rsid w:val="670A5668"/>
    <w:rsid w:val="6712276E"/>
    <w:rsid w:val="6712451C"/>
    <w:rsid w:val="671273F1"/>
    <w:rsid w:val="671C402B"/>
    <w:rsid w:val="67206C39"/>
    <w:rsid w:val="6732696D"/>
    <w:rsid w:val="67381BDA"/>
    <w:rsid w:val="673D77D6"/>
    <w:rsid w:val="67443FC0"/>
    <w:rsid w:val="67555A5D"/>
    <w:rsid w:val="67580AC9"/>
    <w:rsid w:val="677B0314"/>
    <w:rsid w:val="67A71109"/>
    <w:rsid w:val="67B35CFF"/>
    <w:rsid w:val="67B4474D"/>
    <w:rsid w:val="67BA7FEE"/>
    <w:rsid w:val="67CE0D8B"/>
    <w:rsid w:val="67D16185"/>
    <w:rsid w:val="67D30150"/>
    <w:rsid w:val="67DC6B15"/>
    <w:rsid w:val="67E204C0"/>
    <w:rsid w:val="67E65ED5"/>
    <w:rsid w:val="67E91721"/>
    <w:rsid w:val="67ED7463"/>
    <w:rsid w:val="67FC76A6"/>
    <w:rsid w:val="68016A6B"/>
    <w:rsid w:val="68096D2E"/>
    <w:rsid w:val="680A64A2"/>
    <w:rsid w:val="680A680D"/>
    <w:rsid w:val="680E73DA"/>
    <w:rsid w:val="6827023F"/>
    <w:rsid w:val="682B1D3A"/>
    <w:rsid w:val="6831647E"/>
    <w:rsid w:val="68490412"/>
    <w:rsid w:val="685748DD"/>
    <w:rsid w:val="686B482C"/>
    <w:rsid w:val="687A681D"/>
    <w:rsid w:val="68802085"/>
    <w:rsid w:val="6881195A"/>
    <w:rsid w:val="688F501A"/>
    <w:rsid w:val="68921DB9"/>
    <w:rsid w:val="689F76B8"/>
    <w:rsid w:val="68A44B73"/>
    <w:rsid w:val="68A67612"/>
    <w:rsid w:val="68A90D75"/>
    <w:rsid w:val="68AF46C8"/>
    <w:rsid w:val="68B166E3"/>
    <w:rsid w:val="68B234B7"/>
    <w:rsid w:val="68B27D65"/>
    <w:rsid w:val="68BB7D7E"/>
    <w:rsid w:val="68C33D20"/>
    <w:rsid w:val="68D67EF7"/>
    <w:rsid w:val="68E50904"/>
    <w:rsid w:val="68E65C61"/>
    <w:rsid w:val="68F644D5"/>
    <w:rsid w:val="68F71C1C"/>
    <w:rsid w:val="68FE5C6A"/>
    <w:rsid w:val="690031C6"/>
    <w:rsid w:val="6905258B"/>
    <w:rsid w:val="69074555"/>
    <w:rsid w:val="690F6F65"/>
    <w:rsid w:val="691079C5"/>
    <w:rsid w:val="69150E1B"/>
    <w:rsid w:val="6919323E"/>
    <w:rsid w:val="691B3DFB"/>
    <w:rsid w:val="691B5192"/>
    <w:rsid w:val="691D55AF"/>
    <w:rsid w:val="691E2357"/>
    <w:rsid w:val="69270753"/>
    <w:rsid w:val="69360996"/>
    <w:rsid w:val="693A43CF"/>
    <w:rsid w:val="693B7D5A"/>
    <w:rsid w:val="694F3806"/>
    <w:rsid w:val="695312C2"/>
    <w:rsid w:val="695452C0"/>
    <w:rsid w:val="69635503"/>
    <w:rsid w:val="696B783B"/>
    <w:rsid w:val="696E0130"/>
    <w:rsid w:val="697119CE"/>
    <w:rsid w:val="697F058F"/>
    <w:rsid w:val="698A0CE2"/>
    <w:rsid w:val="698F62F8"/>
    <w:rsid w:val="69A80A3A"/>
    <w:rsid w:val="69B01856"/>
    <w:rsid w:val="69BD2E65"/>
    <w:rsid w:val="69C9180A"/>
    <w:rsid w:val="69E76134"/>
    <w:rsid w:val="69EE1271"/>
    <w:rsid w:val="69EE301F"/>
    <w:rsid w:val="69FD3262"/>
    <w:rsid w:val="6A006552"/>
    <w:rsid w:val="6A020EE6"/>
    <w:rsid w:val="6A042842"/>
    <w:rsid w:val="6A1011E7"/>
    <w:rsid w:val="6A16113C"/>
    <w:rsid w:val="6A162576"/>
    <w:rsid w:val="6A235652"/>
    <w:rsid w:val="6A413A96"/>
    <w:rsid w:val="6A421F42"/>
    <w:rsid w:val="6A4610AD"/>
    <w:rsid w:val="6A615EE7"/>
    <w:rsid w:val="6A624A21"/>
    <w:rsid w:val="6A682DDA"/>
    <w:rsid w:val="6A793230"/>
    <w:rsid w:val="6A7A6FA8"/>
    <w:rsid w:val="6A9509A4"/>
    <w:rsid w:val="6A97281C"/>
    <w:rsid w:val="6A995680"/>
    <w:rsid w:val="6A9E4A45"/>
    <w:rsid w:val="6AA162E3"/>
    <w:rsid w:val="6AA3499E"/>
    <w:rsid w:val="6AA61B4B"/>
    <w:rsid w:val="6AC10733"/>
    <w:rsid w:val="6AC63F9C"/>
    <w:rsid w:val="6ACD7E32"/>
    <w:rsid w:val="6AD14E1A"/>
    <w:rsid w:val="6AD20B92"/>
    <w:rsid w:val="6AD55D84"/>
    <w:rsid w:val="6ADE7537"/>
    <w:rsid w:val="6AE368FC"/>
    <w:rsid w:val="6AE6019A"/>
    <w:rsid w:val="6AE85CC0"/>
    <w:rsid w:val="6AF01018"/>
    <w:rsid w:val="6AF11836"/>
    <w:rsid w:val="6AF503DD"/>
    <w:rsid w:val="6B0074AE"/>
    <w:rsid w:val="6B013226"/>
    <w:rsid w:val="6B0D5727"/>
    <w:rsid w:val="6B1340CA"/>
    <w:rsid w:val="6B150F0B"/>
    <w:rsid w:val="6B227A82"/>
    <w:rsid w:val="6B2A452A"/>
    <w:rsid w:val="6B3C7DBA"/>
    <w:rsid w:val="6B421874"/>
    <w:rsid w:val="6B451364"/>
    <w:rsid w:val="6B4A0F65"/>
    <w:rsid w:val="6B60619E"/>
    <w:rsid w:val="6B7A4CA1"/>
    <w:rsid w:val="6B826114"/>
    <w:rsid w:val="6B910106"/>
    <w:rsid w:val="6B917F2F"/>
    <w:rsid w:val="6B97466E"/>
    <w:rsid w:val="6B9A16B0"/>
    <w:rsid w:val="6B9D1A33"/>
    <w:rsid w:val="6BAE0CB8"/>
    <w:rsid w:val="6BBF5D79"/>
    <w:rsid w:val="6BC06C3D"/>
    <w:rsid w:val="6BCC61AB"/>
    <w:rsid w:val="6BD34BC2"/>
    <w:rsid w:val="6BD44496"/>
    <w:rsid w:val="6BDD159D"/>
    <w:rsid w:val="6BF84629"/>
    <w:rsid w:val="6BFF59B7"/>
    <w:rsid w:val="6C144961"/>
    <w:rsid w:val="6C1C712B"/>
    <w:rsid w:val="6C27128A"/>
    <w:rsid w:val="6C2C42D2"/>
    <w:rsid w:val="6C303D8F"/>
    <w:rsid w:val="6C30748A"/>
    <w:rsid w:val="6C3D028D"/>
    <w:rsid w:val="6C494E84"/>
    <w:rsid w:val="6C4D5BC7"/>
    <w:rsid w:val="6C4E3951"/>
    <w:rsid w:val="6C5C4BB7"/>
    <w:rsid w:val="6C616F63"/>
    <w:rsid w:val="6C765754"/>
    <w:rsid w:val="6C810784"/>
    <w:rsid w:val="6C852B4E"/>
    <w:rsid w:val="6C8C6B1F"/>
    <w:rsid w:val="6C931878"/>
    <w:rsid w:val="6C933BCD"/>
    <w:rsid w:val="6C942252"/>
    <w:rsid w:val="6C950756"/>
    <w:rsid w:val="6CA421A9"/>
    <w:rsid w:val="6CAE2F39"/>
    <w:rsid w:val="6CB0280D"/>
    <w:rsid w:val="6CB25EF6"/>
    <w:rsid w:val="6CBA368C"/>
    <w:rsid w:val="6CCA7D73"/>
    <w:rsid w:val="6CD52274"/>
    <w:rsid w:val="6CD67880"/>
    <w:rsid w:val="6CE0240E"/>
    <w:rsid w:val="6CF05300"/>
    <w:rsid w:val="6CF070AE"/>
    <w:rsid w:val="6CFC5A53"/>
    <w:rsid w:val="6D0A4613"/>
    <w:rsid w:val="6D0F3862"/>
    <w:rsid w:val="6D1077B3"/>
    <w:rsid w:val="6D192AFE"/>
    <w:rsid w:val="6D282CEC"/>
    <w:rsid w:val="6D291DE9"/>
    <w:rsid w:val="6D2A6A64"/>
    <w:rsid w:val="6D2F407A"/>
    <w:rsid w:val="6D3671B7"/>
    <w:rsid w:val="6D372F2F"/>
    <w:rsid w:val="6D3E250F"/>
    <w:rsid w:val="6D463172"/>
    <w:rsid w:val="6D464F20"/>
    <w:rsid w:val="6D4F0278"/>
    <w:rsid w:val="6D610E3F"/>
    <w:rsid w:val="6D667370"/>
    <w:rsid w:val="6D7478EE"/>
    <w:rsid w:val="6D885538"/>
    <w:rsid w:val="6D8A5754"/>
    <w:rsid w:val="6D8D0DA1"/>
    <w:rsid w:val="6D94212F"/>
    <w:rsid w:val="6D9A2DB3"/>
    <w:rsid w:val="6D9D7236"/>
    <w:rsid w:val="6DA427F5"/>
    <w:rsid w:val="6DA94999"/>
    <w:rsid w:val="6DBD1686"/>
    <w:rsid w:val="6DF25938"/>
    <w:rsid w:val="6DF7267F"/>
    <w:rsid w:val="6DFE57FA"/>
    <w:rsid w:val="6E003712"/>
    <w:rsid w:val="6E0E0133"/>
    <w:rsid w:val="6E2551EB"/>
    <w:rsid w:val="6E272FA3"/>
    <w:rsid w:val="6E2C05BA"/>
    <w:rsid w:val="6E631D8F"/>
    <w:rsid w:val="6E672517"/>
    <w:rsid w:val="6E6E793D"/>
    <w:rsid w:val="6E791874"/>
    <w:rsid w:val="6E82467D"/>
    <w:rsid w:val="6E895A0C"/>
    <w:rsid w:val="6E9A09DA"/>
    <w:rsid w:val="6E9A5523"/>
    <w:rsid w:val="6E9D5013"/>
    <w:rsid w:val="6EA14B04"/>
    <w:rsid w:val="6EB5235D"/>
    <w:rsid w:val="6EBE3907"/>
    <w:rsid w:val="6EC151A6"/>
    <w:rsid w:val="6ED053E9"/>
    <w:rsid w:val="6ED24CBD"/>
    <w:rsid w:val="6EE40E94"/>
    <w:rsid w:val="6EE42C42"/>
    <w:rsid w:val="6EEF6056"/>
    <w:rsid w:val="6EF06AD7"/>
    <w:rsid w:val="6EF32E85"/>
    <w:rsid w:val="6F011A46"/>
    <w:rsid w:val="6F1572A0"/>
    <w:rsid w:val="6F220C11"/>
    <w:rsid w:val="6F2B2745"/>
    <w:rsid w:val="6F2F65B3"/>
    <w:rsid w:val="6F4436E1"/>
    <w:rsid w:val="6F455D89"/>
    <w:rsid w:val="6F5778B8"/>
    <w:rsid w:val="6F5A4CB2"/>
    <w:rsid w:val="6F667AFB"/>
    <w:rsid w:val="6F7205C8"/>
    <w:rsid w:val="6F814935"/>
    <w:rsid w:val="6F8A37EA"/>
    <w:rsid w:val="6F991C7F"/>
    <w:rsid w:val="6F9E1043"/>
    <w:rsid w:val="6FC01D94"/>
    <w:rsid w:val="6FC05A71"/>
    <w:rsid w:val="6FC13D25"/>
    <w:rsid w:val="6FCB7D7F"/>
    <w:rsid w:val="6FDC1B6B"/>
    <w:rsid w:val="6FE16EE1"/>
    <w:rsid w:val="6FF375E1"/>
    <w:rsid w:val="6FF91902"/>
    <w:rsid w:val="6FFE345A"/>
    <w:rsid w:val="7004359C"/>
    <w:rsid w:val="70135C03"/>
    <w:rsid w:val="7019691C"/>
    <w:rsid w:val="70221C74"/>
    <w:rsid w:val="70313C65"/>
    <w:rsid w:val="70335C2F"/>
    <w:rsid w:val="7036571F"/>
    <w:rsid w:val="70377729"/>
    <w:rsid w:val="703B2BB9"/>
    <w:rsid w:val="703D240A"/>
    <w:rsid w:val="704C651B"/>
    <w:rsid w:val="704C6CF1"/>
    <w:rsid w:val="704E4817"/>
    <w:rsid w:val="70551E67"/>
    <w:rsid w:val="7064228D"/>
    <w:rsid w:val="706B361B"/>
    <w:rsid w:val="706F46F9"/>
    <w:rsid w:val="70934178"/>
    <w:rsid w:val="70967F6C"/>
    <w:rsid w:val="70A81A46"/>
    <w:rsid w:val="70B07280"/>
    <w:rsid w:val="70B86135"/>
    <w:rsid w:val="70CA4041"/>
    <w:rsid w:val="70CE694A"/>
    <w:rsid w:val="70D864B3"/>
    <w:rsid w:val="70E61366"/>
    <w:rsid w:val="70E707C8"/>
    <w:rsid w:val="70E9425A"/>
    <w:rsid w:val="70EB3E10"/>
    <w:rsid w:val="70F52EE5"/>
    <w:rsid w:val="710475CC"/>
    <w:rsid w:val="71105F71"/>
    <w:rsid w:val="71125845"/>
    <w:rsid w:val="711E68DF"/>
    <w:rsid w:val="712A5284"/>
    <w:rsid w:val="71317525"/>
    <w:rsid w:val="71347E67"/>
    <w:rsid w:val="7137174F"/>
    <w:rsid w:val="71436346"/>
    <w:rsid w:val="71445C1A"/>
    <w:rsid w:val="714F06AB"/>
    <w:rsid w:val="715916C6"/>
    <w:rsid w:val="717209D9"/>
    <w:rsid w:val="71824F76"/>
    <w:rsid w:val="71864485"/>
    <w:rsid w:val="718B3849"/>
    <w:rsid w:val="71986BB2"/>
    <w:rsid w:val="71A02309"/>
    <w:rsid w:val="71B44B4E"/>
    <w:rsid w:val="71B66B18"/>
    <w:rsid w:val="71BA7C8A"/>
    <w:rsid w:val="71C22190"/>
    <w:rsid w:val="71C7452D"/>
    <w:rsid w:val="71CD5C10"/>
    <w:rsid w:val="71CF7BDA"/>
    <w:rsid w:val="71D451F0"/>
    <w:rsid w:val="71D72C0E"/>
    <w:rsid w:val="71DD357F"/>
    <w:rsid w:val="71E371E1"/>
    <w:rsid w:val="71E57FA6"/>
    <w:rsid w:val="71EC078C"/>
    <w:rsid w:val="71F26F1E"/>
    <w:rsid w:val="72001A16"/>
    <w:rsid w:val="721750DD"/>
    <w:rsid w:val="723659A2"/>
    <w:rsid w:val="723B701D"/>
    <w:rsid w:val="724063E2"/>
    <w:rsid w:val="7249173A"/>
    <w:rsid w:val="724A3704"/>
    <w:rsid w:val="72523553"/>
    <w:rsid w:val="72712A3F"/>
    <w:rsid w:val="72785B7B"/>
    <w:rsid w:val="728A58AF"/>
    <w:rsid w:val="728F1117"/>
    <w:rsid w:val="729047C5"/>
    <w:rsid w:val="729130E1"/>
    <w:rsid w:val="72966C68"/>
    <w:rsid w:val="7298621E"/>
    <w:rsid w:val="72A03324"/>
    <w:rsid w:val="72B017B9"/>
    <w:rsid w:val="72C54B39"/>
    <w:rsid w:val="72DD6326"/>
    <w:rsid w:val="72DE2B1B"/>
    <w:rsid w:val="72E15E16"/>
    <w:rsid w:val="72EC6569"/>
    <w:rsid w:val="72F247EE"/>
    <w:rsid w:val="730168F4"/>
    <w:rsid w:val="73081498"/>
    <w:rsid w:val="73100325"/>
    <w:rsid w:val="7318110C"/>
    <w:rsid w:val="731D3FB8"/>
    <w:rsid w:val="73252077"/>
    <w:rsid w:val="732C6966"/>
    <w:rsid w:val="732E489D"/>
    <w:rsid w:val="73334198"/>
    <w:rsid w:val="73467AF6"/>
    <w:rsid w:val="734B14E2"/>
    <w:rsid w:val="734E2D80"/>
    <w:rsid w:val="73593BFF"/>
    <w:rsid w:val="736D76AA"/>
    <w:rsid w:val="736E6F7E"/>
    <w:rsid w:val="73722F12"/>
    <w:rsid w:val="737555F2"/>
    <w:rsid w:val="73766299"/>
    <w:rsid w:val="737956B3"/>
    <w:rsid w:val="737F7C72"/>
    <w:rsid w:val="73816CB2"/>
    <w:rsid w:val="73836ECE"/>
    <w:rsid w:val="73993FFB"/>
    <w:rsid w:val="73A17D44"/>
    <w:rsid w:val="73B21561"/>
    <w:rsid w:val="73B9644B"/>
    <w:rsid w:val="73C51294"/>
    <w:rsid w:val="73D010B5"/>
    <w:rsid w:val="73EA337E"/>
    <w:rsid w:val="740A6D83"/>
    <w:rsid w:val="740F42BD"/>
    <w:rsid w:val="741F25BF"/>
    <w:rsid w:val="743F4CEA"/>
    <w:rsid w:val="74455F31"/>
    <w:rsid w:val="744E4DC5"/>
    <w:rsid w:val="74513B06"/>
    <w:rsid w:val="74535579"/>
    <w:rsid w:val="74566390"/>
    <w:rsid w:val="746111AE"/>
    <w:rsid w:val="74884070"/>
    <w:rsid w:val="74962C31"/>
    <w:rsid w:val="74980757"/>
    <w:rsid w:val="74AD7B60"/>
    <w:rsid w:val="74B3492E"/>
    <w:rsid w:val="74BD1F6B"/>
    <w:rsid w:val="74C0278B"/>
    <w:rsid w:val="74C351B8"/>
    <w:rsid w:val="74D15A17"/>
    <w:rsid w:val="74D23A3D"/>
    <w:rsid w:val="74E53270"/>
    <w:rsid w:val="74E7348C"/>
    <w:rsid w:val="74E90FB2"/>
    <w:rsid w:val="7508162A"/>
    <w:rsid w:val="751007EA"/>
    <w:rsid w:val="75134281"/>
    <w:rsid w:val="752734F6"/>
    <w:rsid w:val="75273889"/>
    <w:rsid w:val="7535244A"/>
    <w:rsid w:val="75355FA6"/>
    <w:rsid w:val="75422471"/>
    <w:rsid w:val="754C6CA4"/>
    <w:rsid w:val="754E7067"/>
    <w:rsid w:val="755747BE"/>
    <w:rsid w:val="75624B17"/>
    <w:rsid w:val="756643B1"/>
    <w:rsid w:val="756D1BE3"/>
    <w:rsid w:val="757104E6"/>
    <w:rsid w:val="757C434C"/>
    <w:rsid w:val="7582335E"/>
    <w:rsid w:val="758721F7"/>
    <w:rsid w:val="758F74DF"/>
    <w:rsid w:val="759676DE"/>
    <w:rsid w:val="759C4277"/>
    <w:rsid w:val="75A66EA3"/>
    <w:rsid w:val="75AB270C"/>
    <w:rsid w:val="75AF3FAA"/>
    <w:rsid w:val="75BB49B9"/>
    <w:rsid w:val="75CF63FA"/>
    <w:rsid w:val="75D02172"/>
    <w:rsid w:val="75D7653C"/>
    <w:rsid w:val="75E875BB"/>
    <w:rsid w:val="75EB0D5A"/>
    <w:rsid w:val="75FA780A"/>
    <w:rsid w:val="75FB71EF"/>
    <w:rsid w:val="760D6F22"/>
    <w:rsid w:val="76116A13"/>
    <w:rsid w:val="761D1EEE"/>
    <w:rsid w:val="76342701"/>
    <w:rsid w:val="763E70DC"/>
    <w:rsid w:val="76430971"/>
    <w:rsid w:val="764A782F"/>
    <w:rsid w:val="764F54F5"/>
    <w:rsid w:val="766D176F"/>
    <w:rsid w:val="767755A1"/>
    <w:rsid w:val="768A0573"/>
    <w:rsid w:val="76940144"/>
    <w:rsid w:val="76967998"/>
    <w:rsid w:val="76A52432"/>
    <w:rsid w:val="76B14119"/>
    <w:rsid w:val="76C375E1"/>
    <w:rsid w:val="76C65B32"/>
    <w:rsid w:val="76E063E5"/>
    <w:rsid w:val="76E87C8D"/>
    <w:rsid w:val="76F1664F"/>
    <w:rsid w:val="76FD2AF3"/>
    <w:rsid w:val="77000835"/>
    <w:rsid w:val="770310A2"/>
    <w:rsid w:val="774C75D7"/>
    <w:rsid w:val="7753605F"/>
    <w:rsid w:val="77560455"/>
    <w:rsid w:val="775D7A36"/>
    <w:rsid w:val="77613082"/>
    <w:rsid w:val="7762083C"/>
    <w:rsid w:val="77660698"/>
    <w:rsid w:val="776A5D57"/>
    <w:rsid w:val="776E39F1"/>
    <w:rsid w:val="77702CAE"/>
    <w:rsid w:val="77770AF7"/>
    <w:rsid w:val="777A4144"/>
    <w:rsid w:val="777F364F"/>
    <w:rsid w:val="778B4A79"/>
    <w:rsid w:val="778D20C9"/>
    <w:rsid w:val="77920469"/>
    <w:rsid w:val="779870B5"/>
    <w:rsid w:val="779A6D27"/>
    <w:rsid w:val="779C6248"/>
    <w:rsid w:val="77A22D00"/>
    <w:rsid w:val="77A411C1"/>
    <w:rsid w:val="77AA4DD8"/>
    <w:rsid w:val="77AC1469"/>
    <w:rsid w:val="77AD62C7"/>
    <w:rsid w:val="77AE5B7C"/>
    <w:rsid w:val="77AF64E3"/>
    <w:rsid w:val="77B37656"/>
    <w:rsid w:val="77BE04D4"/>
    <w:rsid w:val="77C12216"/>
    <w:rsid w:val="77CA50CB"/>
    <w:rsid w:val="77D870BC"/>
    <w:rsid w:val="77E441F4"/>
    <w:rsid w:val="77E45A61"/>
    <w:rsid w:val="77F71C38"/>
    <w:rsid w:val="77FE2FC7"/>
    <w:rsid w:val="78003D06"/>
    <w:rsid w:val="78016613"/>
    <w:rsid w:val="780F6F82"/>
    <w:rsid w:val="781E5417"/>
    <w:rsid w:val="781E731D"/>
    <w:rsid w:val="78235625"/>
    <w:rsid w:val="782C7B34"/>
    <w:rsid w:val="78376BB4"/>
    <w:rsid w:val="783C5DCB"/>
    <w:rsid w:val="78465F1F"/>
    <w:rsid w:val="78487104"/>
    <w:rsid w:val="784A5D07"/>
    <w:rsid w:val="784C3D32"/>
    <w:rsid w:val="784E726E"/>
    <w:rsid w:val="78591FAB"/>
    <w:rsid w:val="7874676C"/>
    <w:rsid w:val="78815C1F"/>
    <w:rsid w:val="78866B18"/>
    <w:rsid w:val="789B6A68"/>
    <w:rsid w:val="78A054C2"/>
    <w:rsid w:val="78A23952"/>
    <w:rsid w:val="78A55DFF"/>
    <w:rsid w:val="78A74CC3"/>
    <w:rsid w:val="78B2790D"/>
    <w:rsid w:val="78B47B29"/>
    <w:rsid w:val="78B50366"/>
    <w:rsid w:val="78B638A1"/>
    <w:rsid w:val="78B83176"/>
    <w:rsid w:val="78BC2B0D"/>
    <w:rsid w:val="78BC32BE"/>
    <w:rsid w:val="78C0202A"/>
    <w:rsid w:val="78C178AF"/>
    <w:rsid w:val="78CA674A"/>
    <w:rsid w:val="78D3594E"/>
    <w:rsid w:val="78D41F79"/>
    <w:rsid w:val="78DB5A92"/>
    <w:rsid w:val="78DD60FB"/>
    <w:rsid w:val="78E73A5B"/>
    <w:rsid w:val="78E75809"/>
    <w:rsid w:val="78E85627"/>
    <w:rsid w:val="78F921D5"/>
    <w:rsid w:val="790A36DF"/>
    <w:rsid w:val="790F19B7"/>
    <w:rsid w:val="79102FB2"/>
    <w:rsid w:val="791505C8"/>
    <w:rsid w:val="792425C0"/>
    <w:rsid w:val="7933301D"/>
    <w:rsid w:val="794A4D1D"/>
    <w:rsid w:val="79515378"/>
    <w:rsid w:val="79517041"/>
    <w:rsid w:val="795409C4"/>
    <w:rsid w:val="795F1D72"/>
    <w:rsid w:val="798219D5"/>
    <w:rsid w:val="79881353"/>
    <w:rsid w:val="79886AFB"/>
    <w:rsid w:val="799356A1"/>
    <w:rsid w:val="799932A5"/>
    <w:rsid w:val="799B6C6D"/>
    <w:rsid w:val="799F7E92"/>
    <w:rsid w:val="79A25548"/>
    <w:rsid w:val="79A436FA"/>
    <w:rsid w:val="79A758CD"/>
    <w:rsid w:val="79A75A82"/>
    <w:rsid w:val="79A96F62"/>
    <w:rsid w:val="79AE4579"/>
    <w:rsid w:val="79AF0AD0"/>
    <w:rsid w:val="79C3066B"/>
    <w:rsid w:val="79CE4C1B"/>
    <w:rsid w:val="79D05F31"/>
    <w:rsid w:val="79DF0BD6"/>
    <w:rsid w:val="79F65ECE"/>
    <w:rsid w:val="79F7750E"/>
    <w:rsid w:val="7A1C78F0"/>
    <w:rsid w:val="7A1F7224"/>
    <w:rsid w:val="7A205476"/>
    <w:rsid w:val="7A212F9C"/>
    <w:rsid w:val="7A287E87"/>
    <w:rsid w:val="7A3507F6"/>
    <w:rsid w:val="7A3C1B84"/>
    <w:rsid w:val="7A460355"/>
    <w:rsid w:val="7A4822D7"/>
    <w:rsid w:val="7A4A24F3"/>
    <w:rsid w:val="7A5213A8"/>
    <w:rsid w:val="7A5275FA"/>
    <w:rsid w:val="7A5769BE"/>
    <w:rsid w:val="7A5E1AFB"/>
    <w:rsid w:val="7A7237F8"/>
    <w:rsid w:val="7A72462A"/>
    <w:rsid w:val="7A796715"/>
    <w:rsid w:val="7A7A445B"/>
    <w:rsid w:val="7A7B26AD"/>
    <w:rsid w:val="7A7E71CA"/>
    <w:rsid w:val="7A8A01C7"/>
    <w:rsid w:val="7A951295"/>
    <w:rsid w:val="7A9A11BA"/>
    <w:rsid w:val="7A9A4386"/>
    <w:rsid w:val="7AA15E8B"/>
    <w:rsid w:val="7AA5772A"/>
    <w:rsid w:val="7AA86067"/>
    <w:rsid w:val="7AAA4D40"/>
    <w:rsid w:val="7AAB11D5"/>
    <w:rsid w:val="7AAD4830"/>
    <w:rsid w:val="7AB67B89"/>
    <w:rsid w:val="7ABE6A3D"/>
    <w:rsid w:val="7AC027B5"/>
    <w:rsid w:val="7AD60112"/>
    <w:rsid w:val="7AD65B35"/>
    <w:rsid w:val="7ADD3231"/>
    <w:rsid w:val="7AE2272C"/>
    <w:rsid w:val="7AEC35AA"/>
    <w:rsid w:val="7AF43905"/>
    <w:rsid w:val="7AF661D7"/>
    <w:rsid w:val="7B072192"/>
    <w:rsid w:val="7B3F192C"/>
    <w:rsid w:val="7B4D11A2"/>
    <w:rsid w:val="7B4F7695"/>
    <w:rsid w:val="7B501137"/>
    <w:rsid w:val="7B58479C"/>
    <w:rsid w:val="7B650392"/>
    <w:rsid w:val="7B65510B"/>
    <w:rsid w:val="7B6C0247"/>
    <w:rsid w:val="7B726107"/>
    <w:rsid w:val="7B75534E"/>
    <w:rsid w:val="7B763A54"/>
    <w:rsid w:val="7B7C0935"/>
    <w:rsid w:val="7B7F441F"/>
    <w:rsid w:val="7B825CBD"/>
    <w:rsid w:val="7B863116"/>
    <w:rsid w:val="7B95154C"/>
    <w:rsid w:val="7BA06143"/>
    <w:rsid w:val="7BA3043B"/>
    <w:rsid w:val="7BA62B3D"/>
    <w:rsid w:val="7BA774D1"/>
    <w:rsid w:val="7BAF18BE"/>
    <w:rsid w:val="7BBB4D2B"/>
    <w:rsid w:val="7BC260B9"/>
    <w:rsid w:val="7BCE0F02"/>
    <w:rsid w:val="7BD36518"/>
    <w:rsid w:val="7BDD2045"/>
    <w:rsid w:val="7BE61DA8"/>
    <w:rsid w:val="7BE97AEA"/>
    <w:rsid w:val="7BF070CA"/>
    <w:rsid w:val="7BFD7CAE"/>
    <w:rsid w:val="7C030BAC"/>
    <w:rsid w:val="7C0466D2"/>
    <w:rsid w:val="7C136915"/>
    <w:rsid w:val="7C1916B3"/>
    <w:rsid w:val="7C1F175E"/>
    <w:rsid w:val="7C1F52BA"/>
    <w:rsid w:val="7C27396F"/>
    <w:rsid w:val="7C3C40BE"/>
    <w:rsid w:val="7C49561C"/>
    <w:rsid w:val="7C4A4A2C"/>
    <w:rsid w:val="7C532F51"/>
    <w:rsid w:val="7C5C650E"/>
    <w:rsid w:val="7C636ECC"/>
    <w:rsid w:val="7C684EB3"/>
    <w:rsid w:val="7C727735"/>
    <w:rsid w:val="7C7E7ADF"/>
    <w:rsid w:val="7C7F3FAA"/>
    <w:rsid w:val="7C8B7BB3"/>
    <w:rsid w:val="7C9061B7"/>
    <w:rsid w:val="7C99467F"/>
    <w:rsid w:val="7C9B7036"/>
    <w:rsid w:val="7CAA7279"/>
    <w:rsid w:val="7CB11429"/>
    <w:rsid w:val="7CB63E70"/>
    <w:rsid w:val="7CB744A6"/>
    <w:rsid w:val="7CBC0D5A"/>
    <w:rsid w:val="7CC8489E"/>
    <w:rsid w:val="7CC93BFC"/>
    <w:rsid w:val="7CCF4F32"/>
    <w:rsid w:val="7CD102B5"/>
    <w:rsid w:val="7CD330C0"/>
    <w:rsid w:val="7CD503BE"/>
    <w:rsid w:val="7CDD764F"/>
    <w:rsid w:val="7CE85FF3"/>
    <w:rsid w:val="7CF46746"/>
    <w:rsid w:val="7D012C11"/>
    <w:rsid w:val="7D032E2D"/>
    <w:rsid w:val="7D042727"/>
    <w:rsid w:val="7D133070"/>
    <w:rsid w:val="7D225061"/>
    <w:rsid w:val="7D2C6D56"/>
    <w:rsid w:val="7D342FE7"/>
    <w:rsid w:val="7D392935"/>
    <w:rsid w:val="7D3D235A"/>
    <w:rsid w:val="7D43160D"/>
    <w:rsid w:val="7D494CE4"/>
    <w:rsid w:val="7D4F6073"/>
    <w:rsid w:val="7D63567A"/>
    <w:rsid w:val="7D657644"/>
    <w:rsid w:val="7D711B45"/>
    <w:rsid w:val="7D7358BD"/>
    <w:rsid w:val="7D744CB2"/>
    <w:rsid w:val="7D7A1B55"/>
    <w:rsid w:val="7D9A458D"/>
    <w:rsid w:val="7DA056F0"/>
    <w:rsid w:val="7DA05D3C"/>
    <w:rsid w:val="7DA168CE"/>
    <w:rsid w:val="7DBD4D8A"/>
    <w:rsid w:val="7DC4436B"/>
    <w:rsid w:val="7DC71FDC"/>
    <w:rsid w:val="7DDB1BD7"/>
    <w:rsid w:val="7DE45A8B"/>
    <w:rsid w:val="7DEA37BD"/>
    <w:rsid w:val="7DF84014"/>
    <w:rsid w:val="7DFB58B2"/>
    <w:rsid w:val="7DFD20AA"/>
    <w:rsid w:val="7E0714B7"/>
    <w:rsid w:val="7E1324A9"/>
    <w:rsid w:val="7E156974"/>
    <w:rsid w:val="7E1B0636"/>
    <w:rsid w:val="7E2B263C"/>
    <w:rsid w:val="7E2F3AA9"/>
    <w:rsid w:val="7E36511A"/>
    <w:rsid w:val="7E387942"/>
    <w:rsid w:val="7E402F77"/>
    <w:rsid w:val="7E4E00D8"/>
    <w:rsid w:val="7E640F7B"/>
    <w:rsid w:val="7E6815D7"/>
    <w:rsid w:val="7E6B270E"/>
    <w:rsid w:val="7E7062A0"/>
    <w:rsid w:val="7E74535B"/>
    <w:rsid w:val="7E782B6B"/>
    <w:rsid w:val="7E7D652C"/>
    <w:rsid w:val="7E861620"/>
    <w:rsid w:val="7E865AC4"/>
    <w:rsid w:val="7E867872"/>
    <w:rsid w:val="7E9F26E2"/>
    <w:rsid w:val="7EA45F4A"/>
    <w:rsid w:val="7EAD3AAF"/>
    <w:rsid w:val="7EB02430"/>
    <w:rsid w:val="7EB30231"/>
    <w:rsid w:val="7EC44A62"/>
    <w:rsid w:val="7EC550D4"/>
    <w:rsid w:val="7ED12D02"/>
    <w:rsid w:val="7ED3085A"/>
    <w:rsid w:val="7ED311A8"/>
    <w:rsid w:val="7EE84089"/>
    <w:rsid w:val="7EF7251E"/>
    <w:rsid w:val="7F022551"/>
    <w:rsid w:val="7F132C5D"/>
    <w:rsid w:val="7F135926"/>
    <w:rsid w:val="7F192494"/>
    <w:rsid w:val="7F215141"/>
    <w:rsid w:val="7F2A72D7"/>
    <w:rsid w:val="7F395AED"/>
    <w:rsid w:val="7F460169"/>
    <w:rsid w:val="7F480FCB"/>
    <w:rsid w:val="7F5636E8"/>
    <w:rsid w:val="7F590AE3"/>
    <w:rsid w:val="7F5D4A77"/>
    <w:rsid w:val="7F686F78"/>
    <w:rsid w:val="7F7E49ED"/>
    <w:rsid w:val="7F840255"/>
    <w:rsid w:val="7F8C56AF"/>
    <w:rsid w:val="7F9D1317"/>
    <w:rsid w:val="7FA241C5"/>
    <w:rsid w:val="7FA2692E"/>
    <w:rsid w:val="7FA56256"/>
    <w:rsid w:val="7FAE0E2E"/>
    <w:rsid w:val="7FAF7849"/>
    <w:rsid w:val="7FB36445"/>
    <w:rsid w:val="7FB36E90"/>
    <w:rsid w:val="7FB81CAD"/>
    <w:rsid w:val="7FBB6673"/>
    <w:rsid w:val="7FBD3767"/>
    <w:rsid w:val="7FBF6BF5"/>
    <w:rsid w:val="7FC972C4"/>
    <w:rsid w:val="7FCB7160"/>
    <w:rsid w:val="7FD15598"/>
    <w:rsid w:val="7FD7D96A"/>
    <w:rsid w:val="7FD840FD"/>
    <w:rsid w:val="7FE17456"/>
    <w:rsid w:val="7FE6632B"/>
    <w:rsid w:val="7FF67165"/>
    <w:rsid w:val="7FFB185D"/>
    <w:rsid w:val="DF7F865A"/>
    <w:rsid w:val="FB3F7CA4"/>
    <w:rsid w:val="FD7A73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4"/>
    <w:basedOn w:val="1"/>
    <w:next w:val="1"/>
    <w:unhideWhenUsed/>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6"/>
    <w:unhideWhenUsed/>
    <w:qFormat/>
    <w:uiPriority w:val="99"/>
    <w:rPr>
      <w:rFonts w:ascii="宋体"/>
      <w:sz w:val="18"/>
      <w:szCs w:val="18"/>
    </w:rPr>
  </w:style>
  <w:style w:type="paragraph" w:styleId="6">
    <w:name w:val="annotation text"/>
    <w:basedOn w:val="1"/>
    <w:semiHidden/>
    <w:unhideWhenUsed/>
    <w:qFormat/>
    <w:uiPriority w:val="99"/>
    <w:pPr>
      <w:jc w:val="left"/>
    </w:pPr>
  </w:style>
  <w:style w:type="paragraph" w:styleId="7">
    <w:name w:val="index 4"/>
    <w:basedOn w:val="1"/>
    <w:next w:val="1"/>
    <w:unhideWhenUsed/>
    <w:qFormat/>
    <w:uiPriority w:val="99"/>
    <w:pPr>
      <w:ind w:left="600" w:leftChars="600"/>
    </w:pPr>
    <w:rPr>
      <w:rFonts w:ascii="Verdana" w:hAnsi="Verdana"/>
      <w:szCs w:val="20"/>
    </w:rPr>
  </w:style>
  <w:style w:type="paragraph" w:styleId="8">
    <w:name w:val="Plain Text"/>
    <w:basedOn w:val="1"/>
    <w:link w:val="20"/>
    <w:qFormat/>
    <w:uiPriority w:val="0"/>
    <w:rPr>
      <w:rFonts w:ascii="宋体" w:hAnsi="Courier New" w:cs="Courier New"/>
      <w:szCs w:val="21"/>
    </w:rPr>
  </w:style>
  <w:style w:type="paragraph" w:styleId="9">
    <w:name w:val="Balloon Text"/>
    <w:basedOn w:val="1"/>
    <w:link w:val="19"/>
    <w:semiHidden/>
    <w:unhideWhenUsed/>
    <w:qFormat/>
    <w:uiPriority w:val="99"/>
    <w:rPr>
      <w:sz w:val="18"/>
      <w:szCs w:val="18"/>
    </w:rPr>
  </w:style>
  <w:style w:type="paragraph" w:styleId="10">
    <w:name w:val="footer"/>
    <w:basedOn w:val="1"/>
    <w:link w:val="18"/>
    <w:qFormat/>
    <w:uiPriority w:val="99"/>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basedOn w:val="12"/>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page number"/>
    <w:basedOn w:val="14"/>
    <w:qFormat/>
    <w:uiPriority w:val="99"/>
  </w:style>
  <w:style w:type="character" w:customStyle="1" w:styleId="16">
    <w:name w:val="文档结构图 Char"/>
    <w:link w:val="5"/>
    <w:semiHidden/>
    <w:qFormat/>
    <w:uiPriority w:val="99"/>
    <w:rPr>
      <w:rFonts w:ascii="宋体"/>
      <w:kern w:val="2"/>
      <w:sz w:val="18"/>
      <w:szCs w:val="18"/>
    </w:rPr>
  </w:style>
  <w:style w:type="character" w:customStyle="1" w:styleId="17">
    <w:name w:val="页眉 Char"/>
    <w:link w:val="11"/>
    <w:qFormat/>
    <w:uiPriority w:val="99"/>
    <w:rPr>
      <w:kern w:val="2"/>
      <w:sz w:val="18"/>
      <w:szCs w:val="18"/>
    </w:rPr>
  </w:style>
  <w:style w:type="character" w:customStyle="1" w:styleId="18">
    <w:name w:val="页脚 Char"/>
    <w:basedOn w:val="14"/>
    <w:link w:val="10"/>
    <w:qFormat/>
    <w:uiPriority w:val="99"/>
    <w:rPr>
      <w:kern w:val="2"/>
      <w:sz w:val="18"/>
      <w:szCs w:val="18"/>
    </w:rPr>
  </w:style>
  <w:style w:type="character" w:customStyle="1" w:styleId="19">
    <w:name w:val="批注框文本 Char"/>
    <w:basedOn w:val="14"/>
    <w:link w:val="9"/>
    <w:semiHidden/>
    <w:qFormat/>
    <w:uiPriority w:val="99"/>
    <w:rPr>
      <w:kern w:val="2"/>
      <w:sz w:val="18"/>
      <w:szCs w:val="18"/>
    </w:rPr>
  </w:style>
  <w:style w:type="character" w:customStyle="1" w:styleId="20">
    <w:name w:val="纯文本 Char"/>
    <w:basedOn w:val="14"/>
    <w:link w:val="8"/>
    <w:qFormat/>
    <w:uiPriority w:val="0"/>
    <w:rPr>
      <w:rFonts w:ascii="宋体" w:hAnsi="Courier New" w:cs="Courier New"/>
      <w:kern w:val="2"/>
      <w:sz w:val="21"/>
      <w:szCs w:val="21"/>
    </w:rPr>
  </w:style>
  <w:style w:type="paragraph" w:styleId="21">
    <w:name w:val="List Paragraph"/>
    <w:basedOn w:val="1"/>
    <w:qFormat/>
    <w:uiPriority w:val="34"/>
    <w:pPr>
      <w:ind w:firstLine="420" w:firstLineChars="200"/>
    </w:pPr>
  </w:style>
  <w:style w:type="paragraph" w:customStyle="1" w:styleId="22">
    <w:name w:val="南京正文"/>
    <w:basedOn w:val="1"/>
    <w:qFormat/>
    <w:uiPriority w:val="0"/>
    <w:pPr>
      <w:widowControl/>
      <w:spacing w:after="200" w:line="560" w:lineRule="exact"/>
      <w:ind w:firstLine="200" w:firstLineChars="200"/>
      <w:jc w:val="left"/>
    </w:pPr>
    <w:rPr>
      <w:rFonts w:eastAsia="仿宋"/>
      <w:kern w:val="0"/>
      <w:sz w:val="32"/>
      <w:szCs w:val="28"/>
      <w:lang w:val="zh-CN"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b593bdc1-f2be-4a9d-974e-418fea810f65</errorID>
      <errorWord>打造提品质</errorWord>
      <group>L1_Word</group>
      <groupName>字词问题</groupName>
      <ability>L2_Typo</ability>
      <abilityName>字词错误</abilityName>
      <candidateList>
        <item>打造高品质</item>
      </candidateList>
      <explain/>
      <paraID>21B7F935</paraID>
      <start>9</start>
      <end>14</end>
      <status>unmodified</status>
      <modifiedWord/>
      <trackRevisions>false</trackRevisions>
    </reviewItem>
    <reviewItem>
      <errorID>596dc8fb-b11a-48ae-bec2-db6f6db5bebc</errorID>
      <errorWord>；</errorWord>
      <group>L1_Word</group>
      <groupName>字词问题</groupName>
      <ability>L2_Typo</ability>
      <abilityName>字词错误</abilityName>
      <candidateList>
        <item>；在</item>
      </candidateList>
      <explain/>
      <paraID>412ACF72</paraID>
      <start>31</start>
      <end>32</end>
      <status>unmodified</status>
      <modifiedWord/>
      <trackRevisions>false</trackRevisions>
    </reviewItem>
    <reviewItem>
      <errorID>de17c7ec-22ae-439b-ace3-617b51fcb3aa</errorID>
      <errorWord>；</errorWord>
      <group>L1_Word</group>
      <groupName>字词问题</groupName>
      <ability>L2_Typo</ability>
      <abilityName>字词错误</abilityName>
      <candidateList>
        <item>；在</item>
      </candidateList>
      <explain/>
      <paraID>5925EC77</paraID>
      <start>30</start>
      <end>31</end>
      <status>unmodified</status>
      <modifiedWord/>
      <trackRevisions>false</trackRevisions>
    </reviewItem>
    <reviewItem>
      <errorID>447ed491-7e41-40f8-97e7-382a959ceb15</errorID>
      <errorWord>详实</errorWord>
      <group>L1_Word</group>
      <groupName>字词问题</groupName>
      <ability>L2_Typo</ability>
      <abilityName>字词错误</abilityName>
      <candidateList>
        <item>翔实</item>
      </candidateList>
      <explain/>
      <paraID>5925EC77</paraID>
      <start>62</start>
      <end>64</end>
      <status>unmodified</status>
      <modifiedWord/>
      <trackRevisions>false</trackRevisions>
    </reviewItem>
    <reviewItem>
      <errorID>ace7abba-7437-4e61-879c-213f02e2dd45</errorID>
      <errorWord>师能建设</errorWord>
      <group>L1_Knowledge</group>
      <groupName>知识性问题</groupName>
      <ability>L2_Knowledge</ability>
      <abilityName>其他知识</abilityName>
      <candidateList>
        <item>师风建设</item>
      </candidateList>
      <explain/>
      <paraID>5523D990</paraID>
      <start>12</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76f009-2e62-47da-acd8-7f57130ca8b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14051</Words>
  <Characters>14752</Characters>
  <Lines>1</Lines>
  <Paragraphs>1</Paragraphs>
  <TotalTime>21</TotalTime>
  <ScaleCrop>false</ScaleCrop>
  <LinksUpToDate>false</LinksUpToDate>
  <CharactersWithSpaces>14784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2022-09-23T08:23:00Z</dcterms:created>
  <dc:creator>Administrator</dc:creator>
  <cp:lastModifiedBy>WPS_1669790122</cp:lastModifiedBy>
  <cp:lastPrinted>2022-09-19T06:24:00Z</cp:lastPrinted>
  <dcterms:modified xsi:type="dcterms:W3CDTF">2026-09-29T08:25:05Z</dcterms:modified>
  <dc:title>关于印发《南京市财政局办公自动化系统</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A773BE52330E4B3388C614271FEDEEE5_13</vt:lpwstr>
  </property>
  <property fmtid="{D5CDD505-2E9C-101B-9397-08002B2CF9AE}" pid="4" name="KSOTemplateDocerSaveRecord">
    <vt:lpwstr>eyJoZGlkIjoiYTAyMmI4ZjNmZGU0NWVjZWI3ODMxY2E1ODM3YmJjMTEiLCJ1c2VySWQiOiIxNDQyMTgwNzg4In0=</vt:lpwstr>
  </property>
</Properties>
</file>