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87A84">
      <w:pPr>
        <w:widowControl/>
        <w:shd w:val="clear"/>
        <w:spacing w:line="560" w:lineRule="exact"/>
        <w:jc w:val="center"/>
        <w:rPr>
          <w:rFonts w:ascii="Times New Roman" w:hAnsi="Times New Roman" w:eastAsia="方正小标宋简体" w:cs="Times New Roman"/>
          <w:color w:val="000000"/>
          <w:kern w:val="0"/>
          <w:sz w:val="44"/>
          <w:szCs w:val="44"/>
          <w:highlight w:val="none"/>
        </w:rPr>
      </w:pPr>
      <w:r>
        <w:rPr>
          <w:rFonts w:hint="eastAsia" w:ascii="Times New Roman" w:hAnsi="Times New Roman" w:eastAsia="方正小标宋简体" w:cs="Times New Roman"/>
          <w:color w:val="000000"/>
          <w:kern w:val="0"/>
          <w:sz w:val="44"/>
          <w:szCs w:val="44"/>
          <w:highlight w:val="none"/>
          <w:lang w:eastAsia="zh-CN"/>
        </w:rPr>
        <w:t>2025年度</w:t>
      </w:r>
      <w:r>
        <w:rPr>
          <w:rFonts w:ascii="Times New Roman" w:hAnsi="Times New Roman" w:eastAsia="方正小标宋简体" w:cs="Times New Roman"/>
          <w:color w:val="000000"/>
          <w:kern w:val="0"/>
          <w:sz w:val="44"/>
          <w:szCs w:val="44"/>
          <w:highlight w:val="none"/>
        </w:rPr>
        <w:t>南京市中心医院整体绩效评</w:t>
      </w:r>
      <w:r>
        <w:rPr>
          <w:rFonts w:hint="eastAsia" w:ascii="Times New Roman" w:hAnsi="Times New Roman" w:eastAsia="方正小标宋简体" w:cs="Times New Roman"/>
          <w:color w:val="000000"/>
          <w:kern w:val="0"/>
          <w:sz w:val="44"/>
          <w:szCs w:val="44"/>
          <w:highlight w:val="none"/>
        </w:rPr>
        <w:t>价</w:t>
      </w:r>
      <w:r>
        <w:rPr>
          <w:rFonts w:ascii="Times New Roman" w:hAnsi="Times New Roman" w:eastAsia="方正小标宋简体" w:cs="Times New Roman"/>
          <w:color w:val="000000"/>
          <w:kern w:val="0"/>
          <w:sz w:val="44"/>
          <w:szCs w:val="44"/>
          <w:highlight w:val="none"/>
        </w:rPr>
        <w:t>报告</w:t>
      </w:r>
    </w:p>
    <w:p w14:paraId="254DD17B">
      <w:pPr>
        <w:shd w:val="clear"/>
        <w:spacing w:line="560" w:lineRule="exact"/>
        <w:ind w:firstLine="640" w:firstLineChars="200"/>
        <w:rPr>
          <w:rFonts w:ascii="Times New Roman" w:hAnsi="Times New Roman" w:eastAsia="仿宋_GB2312" w:cs="Times New Roman"/>
          <w:sz w:val="32"/>
          <w:szCs w:val="32"/>
          <w:highlight w:val="none"/>
        </w:rPr>
      </w:pPr>
    </w:p>
    <w:p w14:paraId="7FF4DF81">
      <w:pPr>
        <w:shd w:val="clear"/>
        <w:spacing w:line="560" w:lineRule="exact"/>
        <w:ind w:firstLine="640" w:firstLineChars="200"/>
        <w:rPr>
          <w:rFonts w:hint="eastAsia" w:ascii="Times New Roman" w:hAnsi="Times New Roman" w:eastAsia="仿宋" w:cs="仿宋"/>
          <w:sz w:val="32"/>
          <w:szCs w:val="32"/>
          <w:highlight w:val="none"/>
        </w:rPr>
      </w:pPr>
      <w:r>
        <w:rPr>
          <w:rFonts w:hint="eastAsia" w:ascii="Times New Roman" w:hAnsi="Times New Roman" w:eastAsia="仿宋" w:cs="仿宋"/>
          <w:sz w:val="32"/>
          <w:szCs w:val="32"/>
          <w:highlight w:val="none"/>
        </w:rPr>
        <w:t>为持续提升预算绩效评价质量，压实资金主管部门和使用单位主体责任，促进提高财政资金使用绩效，</w:t>
      </w:r>
      <w:r>
        <w:rPr>
          <w:rFonts w:hint="eastAsia" w:ascii="Times New Roman" w:hAnsi="Times New Roman" w:eastAsia="仿宋" w:cs="仿宋"/>
          <w:sz w:val="32"/>
          <w:szCs w:val="32"/>
          <w:highlight w:val="none"/>
          <w:lang w:eastAsia="zh-CN"/>
        </w:rPr>
        <w:t>根据《</w:t>
      </w:r>
      <w:r>
        <w:rPr>
          <w:rFonts w:hint="eastAsia" w:ascii="Times New Roman" w:hAnsi="Times New Roman" w:eastAsia="仿宋" w:cs="仿宋"/>
          <w:sz w:val="32"/>
          <w:szCs w:val="32"/>
          <w:highlight w:val="none"/>
        </w:rPr>
        <w:t>关于开展2025年度市级预算绩效单位自评和部门评价的通知</w:t>
      </w:r>
      <w:r>
        <w:rPr>
          <w:rFonts w:hint="eastAsia" w:ascii="Times New Roman" w:hAnsi="Times New Roman" w:eastAsia="仿宋" w:cs="仿宋"/>
          <w:sz w:val="32"/>
          <w:szCs w:val="32"/>
          <w:highlight w:val="none"/>
          <w:lang w:eastAsia="zh-CN"/>
        </w:rPr>
        <w:t>》（宁财绩通〔2026〕7号），</w:t>
      </w:r>
      <w:r>
        <w:rPr>
          <w:rFonts w:hint="eastAsia" w:ascii="Times New Roman" w:hAnsi="Times New Roman" w:eastAsia="仿宋" w:cs="仿宋"/>
          <w:sz w:val="32"/>
          <w:szCs w:val="32"/>
          <w:highlight w:val="none"/>
        </w:rPr>
        <w:t>南京市中心医院对</w:t>
      </w:r>
      <w:r>
        <w:rPr>
          <w:rFonts w:hint="eastAsia" w:ascii="Times New Roman" w:hAnsi="Times New Roman" w:eastAsia="仿宋" w:cs="仿宋"/>
          <w:sz w:val="32"/>
          <w:szCs w:val="32"/>
          <w:highlight w:val="none"/>
          <w:lang w:eastAsia="zh-CN"/>
        </w:rPr>
        <w:t>2025年度</w:t>
      </w:r>
      <w:r>
        <w:rPr>
          <w:rFonts w:hint="eastAsia" w:ascii="Times New Roman" w:hAnsi="Times New Roman" w:eastAsia="仿宋" w:cs="仿宋"/>
          <w:sz w:val="32"/>
          <w:szCs w:val="32"/>
          <w:highlight w:val="none"/>
        </w:rPr>
        <w:t>部门整体预算绩效进行综合评价，形成年度整体预算绩效</w:t>
      </w:r>
      <w:r>
        <w:rPr>
          <w:rFonts w:hint="eastAsia" w:ascii="Times New Roman" w:hAnsi="Times New Roman" w:eastAsia="仿宋" w:cs="仿宋"/>
          <w:sz w:val="32"/>
          <w:szCs w:val="32"/>
          <w:highlight w:val="none"/>
          <w:lang w:val="en-US" w:eastAsia="zh-CN"/>
        </w:rPr>
        <w:t>评价</w:t>
      </w:r>
      <w:r>
        <w:rPr>
          <w:rFonts w:hint="eastAsia" w:ascii="Times New Roman" w:hAnsi="Times New Roman" w:eastAsia="仿宋" w:cs="仿宋"/>
          <w:sz w:val="32"/>
          <w:szCs w:val="32"/>
          <w:highlight w:val="none"/>
        </w:rPr>
        <w:t>报告。现将评价结果报告如下：</w:t>
      </w:r>
    </w:p>
    <w:p w14:paraId="1DD29D3C">
      <w:pPr>
        <w:pStyle w:val="2"/>
        <w:shd w:val="clear"/>
        <w:spacing w:before="0" w:after="0" w:line="560" w:lineRule="exact"/>
        <w:ind w:firstLine="640" w:firstLineChars="200"/>
        <w:rPr>
          <w:rFonts w:ascii="Times New Roman" w:hAnsi="Times New Roman" w:eastAsia="黑体" w:cs="Times New Roman"/>
          <w:b w:val="0"/>
          <w:bCs w:val="0"/>
          <w:kern w:val="2"/>
          <w:sz w:val="32"/>
          <w:szCs w:val="32"/>
          <w:highlight w:val="none"/>
        </w:rPr>
      </w:pPr>
      <w:r>
        <w:rPr>
          <w:rFonts w:hint="eastAsia" w:ascii="Times New Roman" w:hAnsi="Times New Roman" w:eastAsia="黑体" w:cs="Times New Roman"/>
          <w:b w:val="0"/>
          <w:bCs w:val="0"/>
          <w:kern w:val="2"/>
          <w:sz w:val="32"/>
          <w:szCs w:val="32"/>
          <w:highlight w:val="none"/>
        </w:rPr>
        <w:t>一、单位概况</w:t>
      </w:r>
    </w:p>
    <w:p w14:paraId="373C2470">
      <w:pPr>
        <w:shd w:val="clear"/>
        <w:spacing w:line="560" w:lineRule="exact"/>
        <w:ind w:firstLine="643" w:firstLineChars="200"/>
        <w:outlineLvl w:val="1"/>
        <w:rPr>
          <w:rFonts w:ascii="Times New Roman" w:hAnsi="Times New Roman" w:eastAsia="楷体" w:cs="楷体"/>
          <w:b/>
          <w:bCs/>
          <w:sz w:val="32"/>
          <w:szCs w:val="32"/>
          <w:highlight w:val="none"/>
        </w:rPr>
      </w:pPr>
      <w:r>
        <w:rPr>
          <w:rFonts w:hint="eastAsia" w:ascii="Times New Roman" w:hAnsi="Times New Roman" w:eastAsia="楷体" w:cs="楷体"/>
          <w:b/>
          <w:bCs/>
          <w:sz w:val="32"/>
          <w:szCs w:val="32"/>
          <w:highlight w:val="none"/>
        </w:rPr>
        <w:t>（一）</w:t>
      </w:r>
      <w:r>
        <w:rPr>
          <w:rFonts w:hint="eastAsia" w:ascii="Times New Roman" w:hAnsi="Times New Roman" w:eastAsia="楷体" w:cs="楷体"/>
          <w:b/>
          <w:bCs/>
          <w:color w:val="000000"/>
          <w:kern w:val="0"/>
          <w:sz w:val="32"/>
          <w:szCs w:val="32"/>
          <w:highlight w:val="none"/>
        </w:rPr>
        <w:t>单位基本情况</w:t>
      </w:r>
    </w:p>
    <w:p w14:paraId="09190024">
      <w:pPr>
        <w:shd w:val="clear"/>
        <w:spacing w:line="560" w:lineRule="exact"/>
        <w:ind w:firstLine="640" w:firstLineChars="200"/>
        <w:outlineLvl w:val="2"/>
        <w:rPr>
          <w:rFonts w:ascii="Times New Roman" w:hAnsi="Times New Roman" w:eastAsia="仿宋" w:cs="仿宋"/>
          <w:sz w:val="32"/>
          <w:szCs w:val="32"/>
          <w:highlight w:val="none"/>
        </w:rPr>
      </w:pPr>
      <w:r>
        <w:rPr>
          <w:rFonts w:hint="eastAsia" w:ascii="Times New Roman" w:hAnsi="Times New Roman" w:eastAsia="仿宋" w:cs="仿宋"/>
          <w:sz w:val="32"/>
          <w:szCs w:val="32"/>
          <w:highlight w:val="none"/>
        </w:rPr>
        <w:t>1.单位职能</w:t>
      </w:r>
    </w:p>
    <w:p w14:paraId="35DA3544">
      <w:pPr>
        <w:shd w:val="clear"/>
        <w:spacing w:line="560" w:lineRule="exact"/>
        <w:ind w:firstLine="640" w:firstLineChars="200"/>
        <w:rPr>
          <w:rFonts w:hint="eastAsia" w:ascii="Times New Roman" w:hAnsi="Times New Roman" w:eastAsia="仿宋" w:cs="仿宋"/>
          <w:sz w:val="32"/>
          <w:szCs w:val="32"/>
          <w:highlight w:val="none"/>
          <w:lang w:eastAsia="zh-CN"/>
        </w:rPr>
      </w:pPr>
      <w:r>
        <w:rPr>
          <w:rFonts w:hint="eastAsia" w:ascii="Times New Roman" w:hAnsi="Times New Roman" w:eastAsia="仿宋" w:cs="仿宋"/>
          <w:sz w:val="32"/>
          <w:szCs w:val="32"/>
          <w:highlight w:val="none"/>
        </w:rPr>
        <w:t>南京市中心医院（南京市市级机关医院、南京市老年病医院）成立于1949年，原名南京地区公费医疗第三门诊部、南京市市级机关门诊部、南京市市级机关医院；2015年3月更名为南京市中心医院（南京市市级机关医院）；2020年12月挂牌“南京市老年病医院”并加入南京鼓楼医院集团，2021年12月通过验收，成为集医疗、保健、教学、科研、医养于一体的南京市首家公立三级老年病医院，面向社会提供医疗服务</w:t>
      </w:r>
      <w:r>
        <w:rPr>
          <w:rFonts w:hint="eastAsia" w:ascii="Times New Roman" w:hAnsi="Times New Roman" w:eastAsia="仿宋" w:cs="仿宋"/>
          <w:sz w:val="32"/>
          <w:szCs w:val="32"/>
          <w:highlight w:val="none"/>
          <w:lang w:eastAsia="zh-CN"/>
        </w:rPr>
        <w:t>。</w:t>
      </w:r>
    </w:p>
    <w:p w14:paraId="13E91B73">
      <w:pPr>
        <w:shd w:val="clear"/>
        <w:spacing w:line="560" w:lineRule="exact"/>
        <w:ind w:firstLine="640" w:firstLineChars="200"/>
        <w:rPr>
          <w:rFonts w:ascii="Times New Roman" w:hAnsi="Times New Roman" w:eastAsia="仿宋" w:cs="仿宋"/>
          <w:sz w:val="32"/>
          <w:szCs w:val="32"/>
          <w:highlight w:val="none"/>
        </w:rPr>
      </w:pPr>
      <w:r>
        <w:rPr>
          <w:rFonts w:hint="eastAsia" w:ascii="Times New Roman" w:hAnsi="Times New Roman" w:eastAsia="仿宋" w:cs="仿宋"/>
          <w:sz w:val="32"/>
          <w:szCs w:val="32"/>
          <w:highlight w:val="none"/>
        </w:rPr>
        <w:t>南京市中心医院是南京市机关事务管理局二级预算单位，经费来源为财政差额补助，财政对口处室是市财政局社保处。根据南京市中心医院</w:t>
      </w:r>
      <w:r>
        <w:rPr>
          <w:rFonts w:hint="eastAsia" w:ascii="Times New Roman" w:hAnsi="Times New Roman" w:eastAsia="仿宋" w:cs="仿宋"/>
          <w:sz w:val="32"/>
          <w:szCs w:val="32"/>
          <w:highlight w:val="none"/>
          <w:lang w:val="en-US" w:eastAsia="zh-CN"/>
        </w:rPr>
        <w:t>职能</w:t>
      </w:r>
      <w:r>
        <w:rPr>
          <w:rFonts w:hint="eastAsia" w:ascii="Times New Roman" w:hAnsi="Times New Roman" w:eastAsia="仿宋" w:cs="仿宋"/>
          <w:sz w:val="32"/>
          <w:szCs w:val="32"/>
          <w:highlight w:val="none"/>
        </w:rPr>
        <w:t>设置方案，南京市中心医院职能主要</w:t>
      </w:r>
      <w:r>
        <w:rPr>
          <w:rFonts w:hint="eastAsia" w:ascii="Times New Roman" w:hAnsi="Times New Roman" w:eastAsia="仿宋" w:cs="仿宋"/>
          <w:sz w:val="32"/>
          <w:szCs w:val="32"/>
          <w:highlight w:val="none"/>
          <w:lang w:val="en-US" w:eastAsia="zh-CN"/>
        </w:rPr>
        <w:t>是</w:t>
      </w:r>
      <w:r>
        <w:rPr>
          <w:rFonts w:hint="eastAsia" w:ascii="Times New Roman" w:hAnsi="Times New Roman" w:eastAsia="仿宋" w:cs="仿宋"/>
          <w:sz w:val="32"/>
          <w:szCs w:val="32"/>
          <w:highlight w:val="none"/>
        </w:rPr>
        <w:t>承担市级机关干部职工和社区居民的医疗与护理保健服务等工作。</w:t>
      </w:r>
    </w:p>
    <w:p w14:paraId="4446CDB9">
      <w:pPr>
        <w:shd w:val="clear"/>
        <w:spacing w:line="560" w:lineRule="exact"/>
        <w:ind w:firstLine="640" w:firstLineChars="200"/>
        <w:outlineLvl w:val="2"/>
        <w:rPr>
          <w:rFonts w:hint="default"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2.机构设置</w:t>
      </w:r>
    </w:p>
    <w:p w14:paraId="122E14CD">
      <w:pPr>
        <w:shd w:val="clear"/>
        <w:spacing w:line="560" w:lineRule="exact"/>
        <w:ind w:firstLine="640" w:firstLineChars="200"/>
        <w:outlineLvl w:val="2"/>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2025年，南京市中心医院独立编制机构共1个，独立核算机构共1个。医院内设机构共56个，分别是16个职能科室和40个业务科室。科室设置齐全，设备设施先进，流程合理便捷，环境舒适温馨。现有临床科室32个，包括呼吸与危重症医学科、内分泌科、神经内科、心血管内科、消化内科、肾脏内科（血液净化中心）、肿瘤科、老年科、普外科、胸外科、骨科、麻醉科、泌尿外科、神经外科、妇科、康复医学科、急诊医学科、重症医学科、中医科、眼科、口腔科、儿科、耳鼻咽喉科、皮肤科、医学美容科、感染科、风湿免疫科、精神心理科、临终关怀科、健康管理中心；医技科室8个，包括药学部、医学检验科、医学影像科、超声诊断科、心功能检查科、病理科、输血科、营养科。</w:t>
      </w:r>
    </w:p>
    <w:p w14:paraId="2879CE7C">
      <w:pPr>
        <w:shd w:val="clear"/>
        <w:spacing w:line="560" w:lineRule="exact"/>
        <w:ind w:firstLine="640" w:firstLineChars="200"/>
        <w:outlineLvl w:val="2"/>
        <w:rPr>
          <w:rFonts w:hint="default"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3.人员配置</w:t>
      </w:r>
    </w:p>
    <w:p w14:paraId="7C2A2FAE">
      <w:pPr>
        <w:shd w:val="clear"/>
        <w:spacing w:line="560" w:lineRule="exact"/>
        <w:ind w:firstLine="640" w:firstLineChars="200"/>
        <w:outlineLvl w:val="2"/>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2025年，南京市中心医院核准事业编制160人。截至2025年12月，南京市中心医院共有在职人员522人，其中事业编制145人，其他编外人员377人；另有离退休95人。</w:t>
      </w:r>
    </w:p>
    <w:p w14:paraId="5042935A">
      <w:pPr>
        <w:shd w:val="clear"/>
        <w:spacing w:line="560" w:lineRule="exact"/>
        <w:ind w:firstLine="640" w:firstLineChars="200"/>
        <w:outlineLvl w:val="2"/>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4.部门资产</w:t>
      </w:r>
    </w:p>
    <w:p w14:paraId="2C093105">
      <w:pPr>
        <w:shd w:val="clear"/>
        <w:spacing w:line="560" w:lineRule="exact"/>
        <w:ind w:firstLine="640" w:firstLineChars="200"/>
        <w:outlineLvl w:val="2"/>
        <w:rPr>
          <w:rFonts w:hint="eastAsia" w:ascii="Times New Roman" w:hAnsi="Times New Roman" w:eastAsia="仿宋" w:cs="仿宋"/>
          <w:kern w:val="2"/>
          <w:sz w:val="32"/>
          <w:szCs w:val="32"/>
          <w:highlight w:val="none"/>
          <w:lang w:val="en-US" w:eastAsia="zh-CN" w:bidi="ar-SA"/>
        </w:rPr>
      </w:pPr>
      <w:r>
        <w:rPr>
          <w:rFonts w:hint="eastAsia" w:ascii="Times New Roman" w:hAnsi="Times New Roman" w:eastAsia="仿宋" w:cs="仿宋"/>
          <w:kern w:val="2"/>
          <w:sz w:val="32"/>
          <w:szCs w:val="32"/>
          <w:highlight w:val="none"/>
          <w:lang w:val="en-US" w:eastAsia="zh-CN" w:bidi="ar-SA"/>
        </w:rPr>
        <w:t>（1）2025年末，南京市中心医院资产中，货币资金2653.21万元，其中银行存款2652.90万元，比上年减少135.79万元，下降4.87%。</w:t>
      </w:r>
    </w:p>
    <w:p w14:paraId="5056A193">
      <w:pPr>
        <w:shd w:val="clear"/>
        <w:spacing w:line="560" w:lineRule="exact"/>
        <w:ind w:firstLine="640" w:firstLineChars="200"/>
        <w:outlineLvl w:val="2"/>
        <w:rPr>
          <w:rFonts w:hint="eastAsia" w:ascii="Times New Roman" w:hAnsi="Times New Roman" w:eastAsia="仿宋" w:cs="仿宋"/>
          <w:kern w:val="2"/>
          <w:sz w:val="32"/>
          <w:szCs w:val="32"/>
          <w:highlight w:val="none"/>
          <w:lang w:val="en-US" w:eastAsia="zh-CN" w:bidi="ar-SA"/>
        </w:rPr>
      </w:pPr>
    </w:p>
    <w:p w14:paraId="5EDB2076">
      <w:pPr>
        <w:shd w:val="clear"/>
        <w:spacing w:line="560" w:lineRule="exact"/>
        <w:outlineLvl w:val="2"/>
        <w:rPr>
          <w:rFonts w:hint="eastAsia" w:ascii="Times New Roman" w:hAnsi="Times New Roman" w:eastAsia="仿宋" w:cs="仿宋"/>
          <w:kern w:val="2"/>
          <w:sz w:val="32"/>
          <w:szCs w:val="32"/>
          <w:highlight w:val="none"/>
          <w:lang w:val="en-US" w:eastAsia="zh-CN" w:bidi="ar-SA"/>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1879"/>
        <w:gridCol w:w="2050"/>
        <w:gridCol w:w="2146"/>
        <w:gridCol w:w="2146"/>
      </w:tblGrid>
      <w:tr w14:paraId="0532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61" w:type="pct"/>
            <w:vAlign w:val="center"/>
          </w:tcPr>
          <w:p w14:paraId="5A94156B">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b/>
                <w:sz w:val="28"/>
                <w:szCs w:val="28"/>
                <w:highlight w:val="none"/>
                <w:vertAlign w:val="baseline"/>
                <w:lang w:val="en-US" w:eastAsia="zh-CN"/>
              </w:rPr>
            </w:pPr>
            <w:r>
              <w:rPr>
                <w:rFonts w:hint="eastAsia" w:ascii="Times New Roman" w:hAnsi="Times New Roman" w:eastAsia="仿宋" w:cs="仿宋"/>
                <w:b/>
                <w:sz w:val="28"/>
                <w:szCs w:val="28"/>
                <w:highlight w:val="none"/>
                <w:vertAlign w:val="baseline"/>
                <w:lang w:val="en-US" w:eastAsia="zh-CN"/>
              </w:rPr>
              <w:t>序号</w:t>
            </w:r>
          </w:p>
        </w:tc>
        <w:tc>
          <w:tcPr>
            <w:tcW w:w="1037" w:type="pct"/>
            <w:vAlign w:val="center"/>
          </w:tcPr>
          <w:p w14:paraId="1BED19DE">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b/>
                <w:sz w:val="28"/>
                <w:szCs w:val="28"/>
                <w:highlight w:val="none"/>
                <w:vertAlign w:val="baseline"/>
                <w:lang w:val="en-US" w:eastAsia="zh-CN"/>
              </w:rPr>
            </w:pPr>
            <w:r>
              <w:rPr>
                <w:rFonts w:hint="eastAsia" w:eastAsia="仿宋" w:cs="仿宋"/>
                <w:b/>
                <w:sz w:val="28"/>
                <w:szCs w:val="28"/>
                <w:highlight w:val="none"/>
                <w:vertAlign w:val="baseline"/>
                <w:lang w:val="en-US" w:eastAsia="zh-CN"/>
              </w:rPr>
              <w:t>主要资产情况</w:t>
            </w:r>
          </w:p>
        </w:tc>
        <w:tc>
          <w:tcPr>
            <w:tcW w:w="1131" w:type="pct"/>
            <w:vAlign w:val="center"/>
          </w:tcPr>
          <w:p w14:paraId="4BD794CB">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b/>
                <w:sz w:val="28"/>
                <w:szCs w:val="28"/>
                <w:highlight w:val="none"/>
                <w:vertAlign w:val="baseline"/>
                <w:lang w:val="en-US" w:eastAsia="zh-CN"/>
              </w:rPr>
            </w:pPr>
            <w:r>
              <w:rPr>
                <w:rFonts w:hint="eastAsia" w:ascii="Times New Roman" w:hAnsi="Times New Roman" w:eastAsia="仿宋" w:cs="仿宋"/>
                <w:b/>
                <w:sz w:val="28"/>
                <w:szCs w:val="28"/>
                <w:highlight w:val="none"/>
                <w:vertAlign w:val="baseline"/>
                <w:lang w:val="en-US" w:eastAsia="zh-CN"/>
              </w:rPr>
              <w:t>资金量（万元）</w:t>
            </w:r>
          </w:p>
        </w:tc>
        <w:tc>
          <w:tcPr>
            <w:tcW w:w="1184" w:type="pct"/>
            <w:vAlign w:val="center"/>
          </w:tcPr>
          <w:p w14:paraId="720E08D2">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b/>
                <w:sz w:val="28"/>
                <w:szCs w:val="28"/>
                <w:highlight w:val="none"/>
                <w:vertAlign w:val="baseline"/>
                <w:lang w:val="en-US" w:eastAsia="zh-CN"/>
              </w:rPr>
            </w:pPr>
            <w:r>
              <w:rPr>
                <w:rFonts w:hint="eastAsia" w:ascii="Times New Roman" w:hAnsi="Times New Roman" w:eastAsia="仿宋" w:cs="仿宋"/>
                <w:b/>
                <w:sz w:val="28"/>
                <w:szCs w:val="28"/>
                <w:highlight w:val="none"/>
                <w:vertAlign w:val="baseline"/>
                <w:lang w:val="en-US" w:eastAsia="zh-CN"/>
              </w:rPr>
              <w:t>较上年增减情况（万元）</w:t>
            </w:r>
          </w:p>
        </w:tc>
        <w:tc>
          <w:tcPr>
            <w:tcW w:w="1184" w:type="pct"/>
            <w:vAlign w:val="center"/>
          </w:tcPr>
          <w:p w14:paraId="0006768B">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b/>
                <w:sz w:val="28"/>
                <w:szCs w:val="28"/>
                <w:highlight w:val="none"/>
                <w:vertAlign w:val="baseline"/>
                <w:lang w:val="en-US" w:eastAsia="zh-CN"/>
              </w:rPr>
            </w:pPr>
            <w:r>
              <w:rPr>
                <w:rFonts w:hint="eastAsia" w:ascii="Times New Roman" w:hAnsi="Times New Roman" w:eastAsia="仿宋" w:cs="仿宋"/>
                <w:b/>
                <w:sz w:val="28"/>
                <w:szCs w:val="28"/>
                <w:highlight w:val="none"/>
                <w:vertAlign w:val="baseline"/>
                <w:lang w:val="en-US" w:eastAsia="zh-CN"/>
              </w:rPr>
              <w:t>较上年增减比率</w:t>
            </w:r>
          </w:p>
        </w:tc>
      </w:tr>
      <w:tr w14:paraId="0E49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5AE7EAC0">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1</w:t>
            </w:r>
          </w:p>
        </w:tc>
        <w:tc>
          <w:tcPr>
            <w:tcW w:w="1037" w:type="pct"/>
            <w:vAlign w:val="center"/>
          </w:tcPr>
          <w:p w14:paraId="636128C7">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sz w:val="28"/>
                <w:szCs w:val="28"/>
                <w:highlight w:val="none"/>
                <w:vertAlign w:val="baseline"/>
                <w:lang w:val="en-US" w:eastAsia="zh-CN"/>
              </w:rPr>
            </w:pPr>
            <w:r>
              <w:rPr>
                <w:rFonts w:hint="eastAsia" w:eastAsia="仿宋" w:cs="仿宋"/>
                <w:sz w:val="28"/>
                <w:szCs w:val="28"/>
                <w:highlight w:val="none"/>
                <w:vertAlign w:val="baseline"/>
                <w:lang w:val="en-US" w:eastAsia="zh-CN"/>
              </w:rPr>
              <w:t>货币资金</w:t>
            </w:r>
          </w:p>
        </w:tc>
        <w:tc>
          <w:tcPr>
            <w:tcW w:w="1131" w:type="pct"/>
            <w:vAlign w:val="center"/>
          </w:tcPr>
          <w:p w14:paraId="53EDA722">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2653.21</w:t>
            </w:r>
          </w:p>
        </w:tc>
        <w:tc>
          <w:tcPr>
            <w:tcW w:w="1184" w:type="pct"/>
            <w:vAlign w:val="center"/>
          </w:tcPr>
          <w:p w14:paraId="14D0BD11">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-135.79</w:t>
            </w:r>
          </w:p>
        </w:tc>
        <w:tc>
          <w:tcPr>
            <w:tcW w:w="1184" w:type="pct"/>
            <w:vAlign w:val="center"/>
          </w:tcPr>
          <w:p w14:paraId="2A75B7D5">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-4.87%</w:t>
            </w:r>
          </w:p>
        </w:tc>
      </w:tr>
      <w:tr w14:paraId="40DC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459E2CAC">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2</w:t>
            </w:r>
          </w:p>
        </w:tc>
        <w:tc>
          <w:tcPr>
            <w:tcW w:w="1037" w:type="pct"/>
            <w:vAlign w:val="center"/>
          </w:tcPr>
          <w:p w14:paraId="6353191E">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房屋（原值）</w:t>
            </w:r>
          </w:p>
        </w:tc>
        <w:tc>
          <w:tcPr>
            <w:tcW w:w="1131" w:type="pct"/>
            <w:vAlign w:val="center"/>
          </w:tcPr>
          <w:p w14:paraId="7EBD1608">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18173.61</w:t>
            </w:r>
          </w:p>
        </w:tc>
        <w:tc>
          <w:tcPr>
            <w:tcW w:w="1184" w:type="pct"/>
            <w:vAlign w:val="center"/>
          </w:tcPr>
          <w:p w14:paraId="4B130294">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-990.11</w:t>
            </w:r>
          </w:p>
        </w:tc>
        <w:tc>
          <w:tcPr>
            <w:tcW w:w="1184" w:type="pct"/>
            <w:vAlign w:val="center"/>
          </w:tcPr>
          <w:p w14:paraId="03F494B2">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-5.17%</w:t>
            </w:r>
          </w:p>
        </w:tc>
      </w:tr>
      <w:tr w14:paraId="5E890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31622E55">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3</w:t>
            </w:r>
          </w:p>
        </w:tc>
        <w:tc>
          <w:tcPr>
            <w:tcW w:w="1037" w:type="pct"/>
            <w:vAlign w:val="center"/>
          </w:tcPr>
          <w:p w14:paraId="0C211C43">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车辆（原值）</w:t>
            </w:r>
          </w:p>
        </w:tc>
        <w:tc>
          <w:tcPr>
            <w:tcW w:w="1131" w:type="pct"/>
            <w:vAlign w:val="center"/>
          </w:tcPr>
          <w:p w14:paraId="03391F0F">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134.12</w:t>
            </w:r>
          </w:p>
        </w:tc>
        <w:tc>
          <w:tcPr>
            <w:tcW w:w="1184" w:type="pct"/>
            <w:vAlign w:val="center"/>
          </w:tcPr>
          <w:p w14:paraId="7A02A4A3">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±0</w:t>
            </w:r>
          </w:p>
        </w:tc>
        <w:tc>
          <w:tcPr>
            <w:tcW w:w="1184" w:type="pct"/>
            <w:vAlign w:val="center"/>
          </w:tcPr>
          <w:p w14:paraId="57BF13B1">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±0%</w:t>
            </w:r>
          </w:p>
        </w:tc>
      </w:tr>
      <w:tr w14:paraId="23E1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1" w:type="pct"/>
            <w:vAlign w:val="center"/>
          </w:tcPr>
          <w:p w14:paraId="430DDADA">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4</w:t>
            </w:r>
          </w:p>
        </w:tc>
        <w:tc>
          <w:tcPr>
            <w:tcW w:w="1037" w:type="pct"/>
            <w:vAlign w:val="center"/>
          </w:tcPr>
          <w:p w14:paraId="4B6292AB">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在建工程</w:t>
            </w:r>
          </w:p>
        </w:tc>
        <w:tc>
          <w:tcPr>
            <w:tcW w:w="1131" w:type="pct"/>
            <w:vAlign w:val="center"/>
          </w:tcPr>
          <w:p w14:paraId="56A2D5BC">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20249.64</w:t>
            </w:r>
          </w:p>
        </w:tc>
        <w:tc>
          <w:tcPr>
            <w:tcW w:w="1184" w:type="pct"/>
            <w:vAlign w:val="center"/>
          </w:tcPr>
          <w:p w14:paraId="696E7AB7">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+11181.48</w:t>
            </w:r>
          </w:p>
        </w:tc>
        <w:tc>
          <w:tcPr>
            <w:tcW w:w="1184" w:type="pct"/>
            <w:vAlign w:val="center"/>
          </w:tcPr>
          <w:p w14:paraId="18B9DE80">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+123.30%</w:t>
            </w:r>
          </w:p>
        </w:tc>
      </w:tr>
      <w:tr w14:paraId="7DEB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pct"/>
            <w:gridSpan w:val="2"/>
            <w:vAlign w:val="center"/>
          </w:tcPr>
          <w:p w14:paraId="5D6FF213">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t>合计</w:t>
            </w:r>
          </w:p>
        </w:tc>
        <w:tc>
          <w:tcPr>
            <w:tcW w:w="1131" w:type="pct"/>
            <w:vAlign w:val="center"/>
          </w:tcPr>
          <w:p w14:paraId="5DE0589A">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Times New Roman" w:eastAsia="仿宋" w:cs="仿宋"/>
                <w:sz w:val="28"/>
                <w:szCs w:val="28"/>
                <w:highlight w:val="none"/>
                <w:vertAlign w:val="baseline"/>
                <w:lang w:val="en-US" w:eastAsia="zh-CN"/>
              </w:rPr>
            </w:pPr>
            <w:r>
              <w:rPr>
                <w:rFonts w:hint="eastAsia" w:ascii="Times New Roman" w:hAnsi="Times New Roman" w:eastAsia="仿宋" w:cs="仿宋"/>
                <w:sz w:val="28"/>
                <w:szCs w:val="28"/>
                <w:highlight w:val="none"/>
                <w:vertAlign w:val="baseline"/>
                <w:lang w:val="en-US" w:eastAsia="zh-CN"/>
              </w:rPr>
              <w:fldChar w:fldCharType="begin"/>
            </w:r>
            <w:r>
              <w:rPr>
                <w:rFonts w:hint="eastAsia" w:ascii="Times New Roman" w:hAnsi="Times New Roman" w:eastAsia="仿宋" w:cs="仿宋"/>
                <w:sz w:val="28"/>
                <w:szCs w:val="28"/>
                <w:highlight w:val="none"/>
                <w:vertAlign w:val="baseline"/>
                <w:lang w:val="en-US" w:eastAsia="zh-CN"/>
              </w:rPr>
              <w:instrText xml:space="preserve"> = sum(C2:C5) \* MERGEFORMAT </w:instrText>
            </w:r>
            <w:r>
              <w:rPr>
                <w:rFonts w:hint="eastAsia" w:ascii="Times New Roman" w:hAnsi="Times New Roman" w:eastAsia="仿宋" w:cs="仿宋"/>
                <w:sz w:val="28"/>
                <w:szCs w:val="28"/>
                <w:highlight w:val="none"/>
                <w:vertAlign w:val="baseline"/>
                <w:lang w:val="en-US" w:eastAsia="zh-CN"/>
              </w:rPr>
              <w:fldChar w:fldCharType="separate"/>
            </w:r>
            <w:r>
              <w:rPr>
                <w:rFonts w:hint="eastAsia" w:ascii="Times New Roman" w:hAnsi="Times New Roman" w:eastAsia="仿宋" w:cs="仿宋"/>
                <w:sz w:val="28"/>
                <w:szCs w:val="28"/>
                <w:highlight w:val="none"/>
                <w:vertAlign w:val="baseline"/>
                <w:lang w:val="en-US" w:eastAsia="zh-CN"/>
              </w:rPr>
              <w:t>41210.58</w:t>
            </w:r>
            <w:r>
              <w:rPr>
                <w:rFonts w:hint="eastAsia" w:ascii="Times New Roman" w:hAnsi="Times New Roman" w:eastAsia="仿宋" w:cs="仿宋"/>
                <w:sz w:val="28"/>
                <w:szCs w:val="28"/>
                <w:highlight w:val="none"/>
                <w:vertAlign w:val="baseline"/>
                <w:lang w:val="en-US" w:eastAsia="zh-CN"/>
              </w:rPr>
              <w:fldChar w:fldCharType="end"/>
            </w:r>
          </w:p>
        </w:tc>
        <w:tc>
          <w:tcPr>
            <w:tcW w:w="1184" w:type="pct"/>
            <w:shd w:val="clear" w:color="auto" w:fill="auto"/>
            <w:vAlign w:val="center"/>
          </w:tcPr>
          <w:p w14:paraId="3EED48A7">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kern w:val="2"/>
                <w:sz w:val="28"/>
                <w:szCs w:val="28"/>
                <w:highlight w:val="none"/>
                <w:vertAlign w:val="baseline"/>
                <w:lang w:val="en-US" w:eastAsia="zh-CN" w:bidi="ar-SA"/>
              </w:rPr>
            </w:pPr>
            <w:r>
              <w:rPr>
                <w:rFonts w:hint="eastAsia" w:ascii="Times New Roman" w:hAnsi="Times New Roman" w:eastAsia="仿宋" w:cs="仿宋"/>
                <w:sz w:val="28"/>
                <w:szCs w:val="28"/>
                <w:highlight w:val="none"/>
                <w:vertAlign w:val="baseline"/>
                <w:lang w:val="en-US" w:eastAsia="zh-CN"/>
              </w:rPr>
              <w:fldChar w:fldCharType="begin"/>
            </w:r>
            <w:r>
              <w:rPr>
                <w:rFonts w:hint="eastAsia" w:ascii="Times New Roman" w:hAnsi="Times New Roman" w:eastAsia="仿宋" w:cs="仿宋"/>
                <w:sz w:val="28"/>
                <w:szCs w:val="28"/>
                <w:highlight w:val="none"/>
                <w:vertAlign w:val="baseline"/>
                <w:lang w:val="en-US" w:eastAsia="zh-CN"/>
              </w:rPr>
              <w:instrText xml:space="preserve"> = sum(D2:D5) \* MERGEFORMAT </w:instrText>
            </w:r>
            <w:r>
              <w:rPr>
                <w:rFonts w:hint="eastAsia" w:ascii="Times New Roman" w:hAnsi="Times New Roman" w:eastAsia="仿宋" w:cs="仿宋"/>
                <w:sz w:val="28"/>
                <w:szCs w:val="28"/>
                <w:highlight w:val="none"/>
                <w:vertAlign w:val="baseline"/>
                <w:lang w:val="en-US" w:eastAsia="zh-CN"/>
              </w:rPr>
              <w:fldChar w:fldCharType="separate"/>
            </w:r>
            <w:r>
              <w:rPr>
                <w:rFonts w:hint="eastAsia" w:ascii="Times New Roman" w:hAnsi="Times New Roman" w:eastAsia="仿宋" w:cs="仿宋"/>
                <w:sz w:val="28"/>
                <w:szCs w:val="28"/>
                <w:highlight w:val="none"/>
                <w:vertAlign w:val="baseline"/>
                <w:lang w:val="en-US" w:eastAsia="zh-CN"/>
              </w:rPr>
              <w:t>10055.58</w:t>
            </w:r>
            <w:r>
              <w:rPr>
                <w:rFonts w:hint="eastAsia" w:ascii="Times New Roman" w:hAnsi="Times New Roman" w:eastAsia="仿宋" w:cs="仿宋"/>
                <w:sz w:val="28"/>
                <w:szCs w:val="28"/>
                <w:highlight w:val="none"/>
                <w:vertAlign w:val="baseline"/>
                <w:lang w:val="en-US" w:eastAsia="zh-CN"/>
              </w:rPr>
              <w:fldChar w:fldCharType="end"/>
            </w:r>
          </w:p>
        </w:tc>
        <w:tc>
          <w:tcPr>
            <w:tcW w:w="1184" w:type="pct"/>
            <w:shd w:val="clear" w:color="auto" w:fill="auto"/>
            <w:vAlign w:val="center"/>
          </w:tcPr>
          <w:p w14:paraId="46B43724">
            <w:pPr>
              <w:pStyle w:val="12"/>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eastAsia" w:ascii="Times New Roman" w:hAnsi="Times New Roman" w:eastAsia="仿宋" w:cs="仿宋"/>
                <w:kern w:val="2"/>
                <w:sz w:val="28"/>
                <w:szCs w:val="28"/>
                <w:highlight w:val="none"/>
                <w:vertAlign w:val="baseline"/>
                <w:lang w:val="en-US" w:eastAsia="zh-CN" w:bidi="ar-SA"/>
              </w:rPr>
            </w:pPr>
            <w:r>
              <w:rPr>
                <w:rFonts w:hint="eastAsia" w:eastAsia="仿宋" w:cs="仿宋"/>
                <w:sz w:val="28"/>
                <w:szCs w:val="28"/>
                <w:highlight w:val="none"/>
                <w:vertAlign w:val="baseline"/>
                <w:lang w:val="en-US" w:eastAsia="zh-CN"/>
              </w:rPr>
              <w:t>+32.28%</w:t>
            </w:r>
          </w:p>
        </w:tc>
      </w:tr>
    </w:tbl>
    <w:p w14:paraId="049234DA">
      <w:pPr>
        <w:numPr>
          <w:ilvl w:val="0"/>
          <w:numId w:val="1"/>
        </w:numPr>
        <w:shd w:val="clear"/>
        <w:spacing w:line="560" w:lineRule="exact"/>
        <w:ind w:left="0" w:leftChars="0" w:firstLine="539" w:firstLineChars="0"/>
        <w:outlineLvl w:val="2"/>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关于不动产。南京市公房管理中心出租给南京市中心医院的公房（含附属设施设备，以下统称“该房屋”）坐落于南京市秦淮区堂子街43号，建筑面积约359.5平方米，该房屋租赁期限3年共36个月，自2026年1月1日起至2028年12月31日止，其中免租期为1个月，该房屋首年租金为15480元；其他使用中的房产产权都归属于南京市机关事务管理局。</w:t>
      </w:r>
    </w:p>
    <w:p w14:paraId="31865B88">
      <w:pPr>
        <w:numPr>
          <w:ilvl w:val="0"/>
          <w:numId w:val="0"/>
        </w:numPr>
        <w:shd w:val="clear"/>
        <w:spacing w:line="560" w:lineRule="exact"/>
        <w:ind w:firstLine="640" w:firstLineChars="200"/>
        <w:outlineLvl w:val="2"/>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关于动产。医院拥有核磁共振、DSA、全身螺旋CT、全自动生化仪、化学发光仪、运动心电测试系统、富士能BLI胃肠镜、宫腔镜系统、腹腔镜系统、超声刀系统等大型医疗设备五百余台，为医院现代化发展奠定厚实的基础。</w:t>
      </w:r>
    </w:p>
    <w:p w14:paraId="0DE219C0">
      <w:pPr>
        <w:shd w:val="clear"/>
        <w:spacing w:line="560" w:lineRule="exact"/>
        <w:ind w:firstLine="640" w:firstLineChars="200"/>
        <w:outlineLvl w:val="2"/>
        <w:rPr>
          <w:rFonts w:hint="eastAsia" w:ascii="Times New Roman" w:hAnsi="Times New Roman" w:eastAsia="仿宋" w:cs="仿宋"/>
          <w:kern w:val="2"/>
          <w:sz w:val="32"/>
          <w:szCs w:val="32"/>
          <w:highlight w:val="none"/>
          <w:lang w:val="en-US" w:eastAsia="zh-CN" w:bidi="ar-SA"/>
        </w:rPr>
      </w:pPr>
      <w:r>
        <w:rPr>
          <w:rFonts w:hint="eastAsia" w:ascii="Times New Roman" w:hAnsi="Times New Roman" w:eastAsia="仿宋" w:cs="仿宋"/>
          <w:kern w:val="2"/>
          <w:sz w:val="32"/>
          <w:szCs w:val="32"/>
          <w:highlight w:val="none"/>
          <w:lang w:val="en-US" w:eastAsia="zh-CN" w:bidi="ar-SA"/>
        </w:rPr>
        <w:t>（3）2025年，南京市中心医院负债中借款为15000万元，比上年增加0万元，增长0%；应缴财政款2.47万元，比上年增加2.47万元；应付职工薪酬50.73万元，比上年减少1.57万元，下降3.00%。</w:t>
      </w:r>
    </w:p>
    <w:p w14:paraId="08D744FE">
      <w:pPr>
        <w:shd w:val="clear"/>
        <w:spacing w:line="560" w:lineRule="exact"/>
        <w:ind w:firstLine="643" w:firstLineChars="200"/>
        <w:outlineLvl w:val="1"/>
        <w:rPr>
          <w:rFonts w:hint="eastAsia" w:ascii="Times New Roman" w:hAnsi="Times New Roman" w:eastAsia="楷体" w:cs="楷体"/>
          <w:b/>
          <w:bCs/>
          <w:color w:val="000000"/>
          <w:kern w:val="0"/>
          <w:sz w:val="32"/>
          <w:szCs w:val="32"/>
          <w:highlight w:val="none"/>
        </w:rPr>
      </w:pPr>
      <w:r>
        <w:rPr>
          <w:rFonts w:hint="eastAsia" w:ascii="Times New Roman" w:hAnsi="Times New Roman" w:eastAsia="楷体" w:cs="楷体"/>
          <w:b/>
          <w:bCs/>
          <w:color w:val="000000"/>
          <w:kern w:val="0"/>
          <w:sz w:val="32"/>
          <w:szCs w:val="32"/>
          <w:highlight w:val="none"/>
        </w:rPr>
        <w:t>（二）单位</w:t>
      </w:r>
      <w:r>
        <w:rPr>
          <w:rFonts w:hint="eastAsia" w:ascii="Times New Roman" w:hAnsi="Times New Roman" w:eastAsia="楷体" w:cs="楷体"/>
          <w:b/>
          <w:bCs/>
          <w:color w:val="000000"/>
          <w:kern w:val="0"/>
          <w:sz w:val="32"/>
          <w:szCs w:val="32"/>
          <w:highlight w:val="none"/>
          <w:lang w:val="en-US" w:eastAsia="zh-CN"/>
        </w:rPr>
        <w:t>资金</w:t>
      </w:r>
      <w:r>
        <w:rPr>
          <w:rFonts w:hint="eastAsia" w:ascii="Times New Roman" w:hAnsi="Times New Roman" w:eastAsia="楷体" w:cs="楷体"/>
          <w:b/>
          <w:bCs/>
          <w:color w:val="000000"/>
          <w:kern w:val="0"/>
          <w:sz w:val="32"/>
          <w:szCs w:val="32"/>
          <w:highlight w:val="none"/>
        </w:rPr>
        <w:t>情况</w:t>
      </w:r>
    </w:p>
    <w:p w14:paraId="379D8611">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1.部门收支情况</w:t>
      </w:r>
    </w:p>
    <w:p w14:paraId="04CDE724">
      <w:pPr>
        <w:shd w:val="clear"/>
        <w:spacing w:line="560" w:lineRule="exact"/>
        <w:ind w:firstLine="640" w:firstLineChars="200"/>
        <w:outlineLvl w:val="2"/>
        <w:rPr>
          <w:rFonts w:hint="default" w:ascii="Times New Roman" w:hAnsi="Times New Roman" w:eastAsia="仿宋" w:cs="仿宋"/>
          <w:kern w:val="2"/>
          <w:sz w:val="32"/>
          <w:szCs w:val="32"/>
          <w:highlight w:val="none"/>
          <w:lang w:val="en-US" w:eastAsia="zh-CN" w:bidi="ar-SA"/>
        </w:rPr>
      </w:pPr>
      <w:r>
        <w:rPr>
          <w:rFonts w:hint="eastAsia" w:ascii="Times New Roman" w:hAnsi="Times New Roman" w:eastAsia="仿宋" w:cs="仿宋"/>
          <w:kern w:val="2"/>
          <w:sz w:val="32"/>
          <w:szCs w:val="32"/>
          <w:highlight w:val="none"/>
          <w:lang w:val="en-US" w:eastAsia="zh-CN" w:bidi="ar-SA"/>
        </w:rPr>
        <w:t>南京市中心医院2025年收入预算安排41424.86万元，其中：财政拨款收入1424.86万元，事业收入40000万元，其他收入0万元，经营收入0万元。调整后预算55754.43万元，其中：财政拨款14914.56万元，调增13489.7万元，主要原因是财政追加拨款；事业收入39547.23万元，调减452.77万元，主要原因是医疗收入有所下降；经营收入1211.16万元，调增1211.16万元，主要原因是解放路养老护理院全面使用；其他收入81.69万元，调增81.69万元，主要是120急救收入、实习带教收入、学生住宿收入等。实际收入55754.43万元，预算完成率100%。其中：财政拨款14914.56万元，事业收入39547.23万元，经营收入1211.16万元，其他收入81.69万元。整体收入预算调整率34.59%，整体收入预算完成率100.00%。详情见表1。</w:t>
      </w:r>
    </w:p>
    <w:p w14:paraId="374BFC0F">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 w:cs="仿宋"/>
          <w:b/>
          <w:bCs/>
          <w:sz w:val="32"/>
          <w:szCs w:val="32"/>
          <w:highlight w:val="none"/>
          <w:lang w:val="en-US" w:eastAsia="zh-CN"/>
        </w:rPr>
      </w:pPr>
      <w:r>
        <w:rPr>
          <w:rFonts w:hint="eastAsia" w:ascii="Times New Roman" w:hAnsi="Times New Roman" w:eastAsia="仿宋" w:cs="仿宋"/>
          <w:b/>
          <w:bCs/>
          <w:sz w:val="32"/>
          <w:szCs w:val="32"/>
          <w:highlight w:val="none"/>
          <w:lang w:val="en-US" w:eastAsia="zh-CN"/>
        </w:rPr>
        <w:t>表1 2025年市中心医院预算安排与收入情况</w:t>
      </w:r>
    </w:p>
    <w:p w14:paraId="731103E5">
      <w:pPr>
        <w:shd w:val="clear"/>
        <w:spacing w:line="560" w:lineRule="exact"/>
        <w:ind w:firstLine="640" w:firstLineChars="200"/>
        <w:jc w:val="right"/>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单位：万元</w:t>
      </w:r>
    </w:p>
    <w:tbl>
      <w:tblPr>
        <w:tblStyle w:val="18"/>
        <w:tblW w:w="50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23"/>
        <w:gridCol w:w="1784"/>
        <w:gridCol w:w="2120"/>
        <w:gridCol w:w="1772"/>
        <w:gridCol w:w="1772"/>
      </w:tblGrid>
      <w:tr w14:paraId="2C5A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2" w:type="pct"/>
            <w:vAlign w:val="center"/>
          </w:tcPr>
          <w:p w14:paraId="3F25EBD7">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收入类别</w:t>
            </w:r>
          </w:p>
        </w:tc>
        <w:tc>
          <w:tcPr>
            <w:tcW w:w="1005" w:type="pct"/>
            <w:vAlign w:val="center"/>
          </w:tcPr>
          <w:p w14:paraId="3A05F105">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年初预算数</w:t>
            </w:r>
          </w:p>
        </w:tc>
        <w:tc>
          <w:tcPr>
            <w:tcW w:w="1194" w:type="pct"/>
            <w:vAlign w:val="center"/>
          </w:tcPr>
          <w:p w14:paraId="5DD1B9D9">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调整后预算数</w:t>
            </w:r>
          </w:p>
        </w:tc>
        <w:tc>
          <w:tcPr>
            <w:tcW w:w="998" w:type="pct"/>
            <w:vAlign w:val="center"/>
          </w:tcPr>
          <w:p w14:paraId="1C8795FA">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实际收入数</w:t>
            </w:r>
          </w:p>
        </w:tc>
        <w:tc>
          <w:tcPr>
            <w:tcW w:w="998" w:type="pct"/>
            <w:vAlign w:val="center"/>
          </w:tcPr>
          <w:p w14:paraId="01584AB4">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预算完成率</w:t>
            </w:r>
          </w:p>
        </w:tc>
      </w:tr>
      <w:tr w14:paraId="5420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2" w:type="pct"/>
            <w:vAlign w:val="center"/>
          </w:tcPr>
          <w:p w14:paraId="5772675B">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财政拨款</w:t>
            </w:r>
          </w:p>
        </w:tc>
        <w:tc>
          <w:tcPr>
            <w:tcW w:w="1005" w:type="pct"/>
            <w:vAlign w:val="center"/>
          </w:tcPr>
          <w:p w14:paraId="506FB842">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1424.86</w:t>
            </w:r>
          </w:p>
        </w:tc>
        <w:tc>
          <w:tcPr>
            <w:tcW w:w="1194" w:type="pct"/>
            <w:shd w:val="clear" w:color="auto" w:fill="auto"/>
            <w:vAlign w:val="center"/>
          </w:tcPr>
          <w:p w14:paraId="2F068B51">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14914.56</w:t>
            </w:r>
          </w:p>
        </w:tc>
        <w:tc>
          <w:tcPr>
            <w:tcW w:w="998" w:type="pct"/>
            <w:vAlign w:val="center"/>
          </w:tcPr>
          <w:p w14:paraId="2E545B34">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14914.56</w:t>
            </w:r>
          </w:p>
        </w:tc>
        <w:tc>
          <w:tcPr>
            <w:tcW w:w="998" w:type="pct"/>
            <w:vAlign w:val="center"/>
          </w:tcPr>
          <w:p w14:paraId="638C7DCB">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100%</w:t>
            </w:r>
          </w:p>
        </w:tc>
      </w:tr>
      <w:tr w14:paraId="7039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2" w:type="pct"/>
            <w:vAlign w:val="center"/>
          </w:tcPr>
          <w:p w14:paraId="5C586F6C">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事业收入</w:t>
            </w:r>
          </w:p>
        </w:tc>
        <w:tc>
          <w:tcPr>
            <w:tcW w:w="1005" w:type="pct"/>
            <w:vAlign w:val="center"/>
          </w:tcPr>
          <w:p w14:paraId="29CB195F">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40000</w:t>
            </w:r>
          </w:p>
        </w:tc>
        <w:tc>
          <w:tcPr>
            <w:tcW w:w="1194" w:type="pct"/>
            <w:shd w:val="clear" w:color="auto" w:fill="auto"/>
            <w:vAlign w:val="center"/>
          </w:tcPr>
          <w:p w14:paraId="40245F59">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39547.23</w:t>
            </w:r>
          </w:p>
        </w:tc>
        <w:tc>
          <w:tcPr>
            <w:tcW w:w="998" w:type="pct"/>
            <w:vAlign w:val="center"/>
          </w:tcPr>
          <w:p w14:paraId="6F0DD412">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39547.23</w:t>
            </w:r>
          </w:p>
        </w:tc>
        <w:tc>
          <w:tcPr>
            <w:tcW w:w="998" w:type="pct"/>
            <w:vAlign w:val="center"/>
          </w:tcPr>
          <w:p w14:paraId="57EE1F97">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100%</w:t>
            </w:r>
          </w:p>
        </w:tc>
      </w:tr>
      <w:tr w14:paraId="2390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2" w:type="pct"/>
            <w:vAlign w:val="center"/>
          </w:tcPr>
          <w:p w14:paraId="228277A0">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经营收入</w:t>
            </w:r>
          </w:p>
        </w:tc>
        <w:tc>
          <w:tcPr>
            <w:tcW w:w="1005" w:type="pct"/>
            <w:vAlign w:val="center"/>
          </w:tcPr>
          <w:p w14:paraId="2121DAC4">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0</w:t>
            </w:r>
          </w:p>
        </w:tc>
        <w:tc>
          <w:tcPr>
            <w:tcW w:w="1194" w:type="pct"/>
            <w:shd w:val="clear" w:color="auto" w:fill="auto"/>
            <w:vAlign w:val="center"/>
          </w:tcPr>
          <w:p w14:paraId="2FAA089C">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1211.16</w:t>
            </w:r>
          </w:p>
        </w:tc>
        <w:tc>
          <w:tcPr>
            <w:tcW w:w="998" w:type="pct"/>
            <w:vAlign w:val="center"/>
          </w:tcPr>
          <w:p w14:paraId="1EF5D8E9">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1211.16</w:t>
            </w:r>
          </w:p>
        </w:tc>
        <w:tc>
          <w:tcPr>
            <w:tcW w:w="998" w:type="pct"/>
            <w:vAlign w:val="center"/>
          </w:tcPr>
          <w:p w14:paraId="425B0379">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100%</w:t>
            </w:r>
          </w:p>
        </w:tc>
      </w:tr>
      <w:tr w14:paraId="7004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2" w:type="pct"/>
            <w:vAlign w:val="center"/>
          </w:tcPr>
          <w:p w14:paraId="0CBEA636">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其他收入</w:t>
            </w:r>
          </w:p>
        </w:tc>
        <w:tc>
          <w:tcPr>
            <w:tcW w:w="1005" w:type="pct"/>
            <w:vAlign w:val="center"/>
          </w:tcPr>
          <w:p w14:paraId="0C7C9264">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0</w:t>
            </w:r>
          </w:p>
        </w:tc>
        <w:tc>
          <w:tcPr>
            <w:tcW w:w="1194" w:type="pct"/>
            <w:shd w:val="clear" w:color="auto" w:fill="auto"/>
            <w:vAlign w:val="center"/>
          </w:tcPr>
          <w:p w14:paraId="1A9067A5">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81.69</w:t>
            </w:r>
          </w:p>
        </w:tc>
        <w:tc>
          <w:tcPr>
            <w:tcW w:w="998" w:type="pct"/>
            <w:vAlign w:val="center"/>
          </w:tcPr>
          <w:p w14:paraId="2F9D21E4">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81.69</w:t>
            </w:r>
          </w:p>
        </w:tc>
        <w:tc>
          <w:tcPr>
            <w:tcW w:w="998" w:type="pct"/>
            <w:vAlign w:val="center"/>
          </w:tcPr>
          <w:p w14:paraId="427EB880">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100%</w:t>
            </w:r>
          </w:p>
        </w:tc>
      </w:tr>
      <w:tr w14:paraId="16AE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2" w:type="pct"/>
            <w:vAlign w:val="center"/>
          </w:tcPr>
          <w:p w14:paraId="485C4053">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drawing>
                <wp:inline distT="0" distB="0" distL="0" distR="0">
                  <wp:extent cx="354965" cy="199390"/>
                  <wp:effectExtent l="0" t="0" r="6985" b="635"/>
                  <wp:docPr id="21" name="IM 26"/>
                  <wp:cNvGraphicFramePr/>
                  <a:graphic xmlns:a="http://schemas.openxmlformats.org/drawingml/2006/main">
                    <a:graphicData uri="http://schemas.openxmlformats.org/drawingml/2006/picture">
                      <pic:pic xmlns:pic="http://schemas.openxmlformats.org/drawingml/2006/picture">
                        <pic:nvPicPr>
                          <pic:cNvPr id="21" name="IM 26"/>
                          <pic:cNvPicPr/>
                        </pic:nvPicPr>
                        <pic:blipFill>
                          <a:blip r:embed="rId5"/>
                          <a:stretch>
                            <a:fillRect/>
                          </a:stretch>
                        </pic:blipFill>
                        <pic:spPr>
                          <a:xfrm>
                            <a:off x="0" y="0"/>
                            <a:ext cx="355092" cy="199644"/>
                          </a:xfrm>
                          <a:prstGeom prst="rect">
                            <a:avLst/>
                          </a:prstGeom>
                        </pic:spPr>
                      </pic:pic>
                    </a:graphicData>
                  </a:graphic>
                </wp:inline>
              </w:drawing>
            </w:r>
          </w:p>
        </w:tc>
        <w:tc>
          <w:tcPr>
            <w:tcW w:w="1005" w:type="pct"/>
            <w:vAlign w:val="center"/>
          </w:tcPr>
          <w:p w14:paraId="5A632A5D">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41424.86</w:t>
            </w:r>
          </w:p>
        </w:tc>
        <w:tc>
          <w:tcPr>
            <w:tcW w:w="1194" w:type="pct"/>
            <w:vAlign w:val="center"/>
          </w:tcPr>
          <w:p w14:paraId="4FFA17BC">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55754.43</w:t>
            </w:r>
          </w:p>
        </w:tc>
        <w:tc>
          <w:tcPr>
            <w:tcW w:w="998" w:type="pct"/>
            <w:vAlign w:val="center"/>
          </w:tcPr>
          <w:p w14:paraId="3B1AB981">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55754.43</w:t>
            </w:r>
          </w:p>
        </w:tc>
        <w:tc>
          <w:tcPr>
            <w:tcW w:w="998" w:type="pct"/>
            <w:vAlign w:val="center"/>
          </w:tcPr>
          <w:p w14:paraId="2C787977">
            <w:pPr>
              <w:keepNext w:val="0"/>
              <w:keepLines w:val="0"/>
              <w:pageBreakBefore w:val="0"/>
              <w:widowControl/>
              <w:shd w:val="clear"/>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100%</w:t>
            </w:r>
          </w:p>
        </w:tc>
      </w:tr>
    </w:tbl>
    <w:p w14:paraId="5B591E1B">
      <w:pPr>
        <w:shd w:val="clear"/>
        <w:spacing w:line="560" w:lineRule="exact"/>
        <w:ind w:firstLine="640" w:firstLineChars="200"/>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南京市中心医院2025年支出预算安排41424.86万元，其中：基本支出13196.87万元，项目支出28227.99万元。调整后预算55127.91万元，其中：社会保障和就业支出年初预算数39.26万元，决算数31.22万元，减少8.04万元，降幅20.47%，主要是因为在职职工为经费自理人员，缴纳的社会保险统计在综合医院科目中；卫生健康支出年初预算数41376万元，决算数45087.09万元，增加3711.09万元，增幅8.97%，主要用于医院发展；住房保障支出年初预算数9.6万元，决算数9.6万元，减少0万元，降幅0%；其他支出年初预算数0万元，决算数10000万元，增加10000万元，主要用于建设老年病防治研究中心项目。整体支出预算调整率33.08%，整体支出预算执行率100.00%。详情见表2。</w:t>
      </w:r>
    </w:p>
    <w:p w14:paraId="00CA86C6">
      <w:pPr>
        <w:keepNext w:val="0"/>
        <w:keepLines w:val="0"/>
        <w:pageBreakBefore w:val="0"/>
        <w:widowControl w:val="0"/>
        <w:shd w:val="clear"/>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 w:cs="仿宋"/>
          <w:b/>
          <w:bCs/>
          <w:sz w:val="32"/>
          <w:szCs w:val="32"/>
          <w:highlight w:val="none"/>
          <w:lang w:val="en-US" w:eastAsia="zh-CN"/>
        </w:rPr>
      </w:pPr>
      <w:r>
        <w:rPr>
          <w:rFonts w:hint="eastAsia" w:ascii="Times New Roman" w:hAnsi="Times New Roman" w:eastAsia="仿宋" w:cs="仿宋"/>
          <w:b/>
          <w:bCs/>
          <w:sz w:val="32"/>
          <w:szCs w:val="32"/>
          <w:highlight w:val="none"/>
          <w:lang w:val="en-US" w:eastAsia="zh-CN"/>
        </w:rPr>
        <w:t>表2 2025年市中心医院预算安排与支出情况</w:t>
      </w:r>
    </w:p>
    <w:p w14:paraId="231AB9C7">
      <w:pPr>
        <w:shd w:val="clear"/>
        <w:spacing w:line="560" w:lineRule="exact"/>
        <w:ind w:firstLine="640" w:firstLineChars="200"/>
        <w:jc w:val="right"/>
        <w:rPr>
          <w:rFonts w:hint="eastAsia" w:ascii="Times New Roman" w:hAnsi="Times New Roman" w:eastAsia="仿宋" w:cs="仿宋"/>
          <w:sz w:val="32"/>
          <w:szCs w:val="32"/>
          <w:highlight w:val="none"/>
          <w:lang w:val="en-US" w:eastAsia="zh-CN"/>
        </w:rPr>
      </w:pPr>
      <w:r>
        <w:rPr>
          <w:rFonts w:hint="eastAsia" w:ascii="Times New Roman" w:hAnsi="Times New Roman" w:eastAsia="仿宋" w:cs="仿宋"/>
          <w:sz w:val="32"/>
          <w:szCs w:val="32"/>
          <w:highlight w:val="none"/>
          <w:lang w:val="en-US" w:eastAsia="zh-CN"/>
        </w:rPr>
        <w:t>单位：万元</w:t>
      </w:r>
    </w:p>
    <w:tbl>
      <w:tblPr>
        <w:tblStyle w:val="18"/>
        <w:tblW w:w="50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22"/>
        <w:gridCol w:w="1784"/>
        <w:gridCol w:w="2120"/>
        <w:gridCol w:w="1784"/>
        <w:gridCol w:w="1772"/>
      </w:tblGrid>
      <w:tr w14:paraId="3148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0" w:type="pct"/>
            <w:vAlign w:val="center"/>
          </w:tcPr>
          <w:p w14:paraId="0845B5BD">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支出类别</w:t>
            </w:r>
          </w:p>
        </w:tc>
        <w:tc>
          <w:tcPr>
            <w:tcW w:w="1004" w:type="pct"/>
            <w:vAlign w:val="center"/>
          </w:tcPr>
          <w:p w14:paraId="3EDC0F6C">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年初预算数</w:t>
            </w:r>
          </w:p>
        </w:tc>
        <w:tc>
          <w:tcPr>
            <w:tcW w:w="1193" w:type="pct"/>
            <w:vAlign w:val="center"/>
          </w:tcPr>
          <w:p w14:paraId="2233AA40">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调整后预算数</w:t>
            </w:r>
          </w:p>
        </w:tc>
        <w:tc>
          <w:tcPr>
            <w:tcW w:w="1004" w:type="pct"/>
            <w:vAlign w:val="center"/>
          </w:tcPr>
          <w:p w14:paraId="4FE09081">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实际支出数</w:t>
            </w:r>
          </w:p>
        </w:tc>
        <w:tc>
          <w:tcPr>
            <w:tcW w:w="997" w:type="pct"/>
            <w:vAlign w:val="center"/>
          </w:tcPr>
          <w:p w14:paraId="4E2299D8">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预算执行率</w:t>
            </w:r>
          </w:p>
        </w:tc>
      </w:tr>
      <w:tr w14:paraId="5749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0" w:type="pct"/>
            <w:vAlign w:val="center"/>
          </w:tcPr>
          <w:p w14:paraId="417CD139">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基本支出</w:t>
            </w:r>
          </w:p>
        </w:tc>
        <w:tc>
          <w:tcPr>
            <w:tcW w:w="1004" w:type="pct"/>
            <w:shd w:val="clear" w:color="auto" w:fill="auto"/>
            <w:vAlign w:val="center"/>
          </w:tcPr>
          <w:p w14:paraId="2CE3D080">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13196.87</w:t>
            </w:r>
          </w:p>
        </w:tc>
        <w:tc>
          <w:tcPr>
            <w:tcW w:w="1193" w:type="pct"/>
            <w:shd w:val="clear" w:color="auto" w:fill="auto"/>
            <w:vAlign w:val="center"/>
          </w:tcPr>
          <w:p w14:paraId="783B89BB">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15873.24</w:t>
            </w:r>
          </w:p>
        </w:tc>
        <w:tc>
          <w:tcPr>
            <w:tcW w:w="1004" w:type="pct"/>
            <w:shd w:val="clear" w:color="auto" w:fill="auto"/>
            <w:vAlign w:val="center"/>
          </w:tcPr>
          <w:p w14:paraId="7F59E2B2">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15873.24</w:t>
            </w:r>
          </w:p>
        </w:tc>
        <w:tc>
          <w:tcPr>
            <w:tcW w:w="997" w:type="pct"/>
            <w:shd w:val="clear" w:color="auto" w:fill="auto"/>
            <w:vAlign w:val="center"/>
          </w:tcPr>
          <w:p w14:paraId="218F25A9">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100%</w:t>
            </w:r>
          </w:p>
        </w:tc>
      </w:tr>
      <w:tr w14:paraId="7A53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0" w:type="pct"/>
            <w:vAlign w:val="center"/>
          </w:tcPr>
          <w:p w14:paraId="2E94F0A6">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项目支出</w:t>
            </w:r>
          </w:p>
        </w:tc>
        <w:tc>
          <w:tcPr>
            <w:tcW w:w="1004" w:type="pct"/>
            <w:shd w:val="clear" w:color="auto" w:fill="auto"/>
            <w:vAlign w:val="center"/>
          </w:tcPr>
          <w:p w14:paraId="3B56FF64">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28227.99</w:t>
            </w:r>
          </w:p>
        </w:tc>
        <w:tc>
          <w:tcPr>
            <w:tcW w:w="1193" w:type="pct"/>
            <w:shd w:val="clear" w:color="auto" w:fill="auto"/>
            <w:vAlign w:val="center"/>
          </w:tcPr>
          <w:p w14:paraId="69B1CED0">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38187.99</w:t>
            </w:r>
          </w:p>
        </w:tc>
        <w:tc>
          <w:tcPr>
            <w:tcW w:w="1004" w:type="pct"/>
            <w:shd w:val="clear" w:color="auto" w:fill="auto"/>
            <w:vAlign w:val="center"/>
          </w:tcPr>
          <w:p w14:paraId="5928F7C0">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38187.99</w:t>
            </w:r>
          </w:p>
        </w:tc>
        <w:tc>
          <w:tcPr>
            <w:tcW w:w="997" w:type="pct"/>
            <w:shd w:val="clear" w:color="auto" w:fill="auto"/>
            <w:vAlign w:val="center"/>
          </w:tcPr>
          <w:p w14:paraId="131C2A2B">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100%</w:t>
            </w:r>
          </w:p>
        </w:tc>
      </w:tr>
      <w:tr w14:paraId="0283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0" w:type="pct"/>
            <w:vAlign w:val="center"/>
          </w:tcPr>
          <w:p w14:paraId="42B1EE53">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default"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经营支出</w:t>
            </w:r>
          </w:p>
        </w:tc>
        <w:tc>
          <w:tcPr>
            <w:tcW w:w="1004" w:type="pct"/>
            <w:shd w:val="clear" w:color="auto" w:fill="auto"/>
            <w:vAlign w:val="center"/>
          </w:tcPr>
          <w:p w14:paraId="3CDD1BFD">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w:t>
            </w:r>
          </w:p>
        </w:tc>
        <w:tc>
          <w:tcPr>
            <w:tcW w:w="1193" w:type="pct"/>
            <w:shd w:val="clear" w:color="auto" w:fill="auto"/>
            <w:vAlign w:val="center"/>
          </w:tcPr>
          <w:p w14:paraId="0B0B2452">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1066.68</w:t>
            </w:r>
          </w:p>
        </w:tc>
        <w:tc>
          <w:tcPr>
            <w:tcW w:w="1004" w:type="pct"/>
            <w:shd w:val="clear" w:color="auto" w:fill="auto"/>
            <w:vAlign w:val="center"/>
          </w:tcPr>
          <w:p w14:paraId="43076435">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1066.68</w:t>
            </w:r>
          </w:p>
        </w:tc>
        <w:tc>
          <w:tcPr>
            <w:tcW w:w="997" w:type="pct"/>
            <w:shd w:val="clear" w:color="auto" w:fill="auto"/>
            <w:vAlign w:val="center"/>
          </w:tcPr>
          <w:p w14:paraId="6DBE10DD">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kern w:val="2"/>
                <w:sz w:val="28"/>
                <w:szCs w:val="28"/>
                <w:highlight w:val="none"/>
                <w:lang w:val="en-US" w:eastAsia="zh-CN" w:bidi="ar-SA"/>
              </w:rPr>
            </w:pPr>
            <w:r>
              <w:rPr>
                <w:rFonts w:hint="eastAsia" w:ascii="Times New Roman" w:hAnsi="Times New Roman" w:eastAsia="仿宋" w:cs="仿宋"/>
                <w:bCs/>
                <w:sz w:val="28"/>
                <w:szCs w:val="28"/>
                <w:highlight w:val="none"/>
                <w:lang w:val="en-US" w:eastAsia="zh-CN"/>
              </w:rPr>
              <w:t>100%</w:t>
            </w:r>
          </w:p>
        </w:tc>
      </w:tr>
      <w:tr w14:paraId="5F39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00" w:type="pct"/>
            <w:vAlign w:val="center"/>
          </w:tcPr>
          <w:p w14:paraId="247833FD">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drawing>
                <wp:inline distT="0" distB="0" distL="0" distR="0">
                  <wp:extent cx="354965" cy="199390"/>
                  <wp:effectExtent l="0" t="0" r="6985" b="63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5"/>
                          <a:stretch>
                            <a:fillRect/>
                          </a:stretch>
                        </pic:blipFill>
                        <pic:spPr>
                          <a:xfrm>
                            <a:off x="0" y="0"/>
                            <a:ext cx="355092" cy="199644"/>
                          </a:xfrm>
                          <a:prstGeom prst="rect">
                            <a:avLst/>
                          </a:prstGeom>
                        </pic:spPr>
                      </pic:pic>
                    </a:graphicData>
                  </a:graphic>
                </wp:inline>
              </w:drawing>
            </w:r>
          </w:p>
        </w:tc>
        <w:tc>
          <w:tcPr>
            <w:tcW w:w="1004" w:type="pct"/>
            <w:vAlign w:val="center"/>
          </w:tcPr>
          <w:p w14:paraId="5EA0BEF0">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41424.86</w:t>
            </w:r>
          </w:p>
        </w:tc>
        <w:tc>
          <w:tcPr>
            <w:tcW w:w="1193" w:type="pct"/>
            <w:vAlign w:val="center"/>
          </w:tcPr>
          <w:p w14:paraId="7E05F96C">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55127.91</w:t>
            </w:r>
          </w:p>
        </w:tc>
        <w:tc>
          <w:tcPr>
            <w:tcW w:w="1004" w:type="pct"/>
            <w:vAlign w:val="center"/>
          </w:tcPr>
          <w:p w14:paraId="065382D0">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55127.91</w:t>
            </w:r>
          </w:p>
        </w:tc>
        <w:tc>
          <w:tcPr>
            <w:tcW w:w="997" w:type="pct"/>
            <w:vAlign w:val="center"/>
          </w:tcPr>
          <w:p w14:paraId="6CBE2B58">
            <w:pPr>
              <w:keepNext w:val="0"/>
              <w:keepLines w:val="0"/>
              <w:pageBreakBefore w:val="0"/>
              <w:widowControl/>
              <w:shd w:val="clear"/>
              <w:kinsoku/>
              <w:wordWrap/>
              <w:overflowPunct/>
              <w:topLinePunct w:val="0"/>
              <w:autoSpaceDE/>
              <w:autoSpaceDN/>
              <w:bidi w:val="0"/>
              <w:adjustRightInd/>
              <w:snapToGrid w:val="0"/>
              <w:spacing w:line="240" w:lineRule="auto"/>
              <w:ind w:firstLine="0" w:firstLineChars="0"/>
              <w:jc w:val="center"/>
              <w:textAlignment w:val="auto"/>
              <w:outlineLvl w:val="2"/>
              <w:rPr>
                <w:rFonts w:hint="eastAsia" w:ascii="Times New Roman" w:hAnsi="Times New Roman" w:eastAsia="仿宋" w:cs="仿宋"/>
                <w:bCs/>
                <w:sz w:val="28"/>
                <w:szCs w:val="28"/>
                <w:highlight w:val="none"/>
                <w:lang w:val="en-US" w:eastAsia="zh-CN"/>
              </w:rPr>
            </w:pPr>
            <w:r>
              <w:rPr>
                <w:rFonts w:hint="eastAsia" w:ascii="Times New Roman" w:hAnsi="Times New Roman" w:eastAsia="仿宋" w:cs="仿宋"/>
                <w:bCs/>
                <w:sz w:val="28"/>
                <w:szCs w:val="28"/>
                <w:highlight w:val="none"/>
                <w:lang w:val="en-US" w:eastAsia="zh-CN"/>
              </w:rPr>
              <w:t>100%</w:t>
            </w:r>
          </w:p>
        </w:tc>
      </w:tr>
    </w:tbl>
    <w:p w14:paraId="6B5CC8CC">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2.“三公”经费情况</w:t>
      </w:r>
    </w:p>
    <w:p w14:paraId="0094506F">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2025年，南京市中心医院财政拨款支出“三公”经费预算和支出均为0。</w:t>
      </w:r>
    </w:p>
    <w:p w14:paraId="35AAE9B1">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p>
    <w:p w14:paraId="0B7E2479">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p>
    <w:p w14:paraId="4A89C4A9">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p>
    <w:p w14:paraId="0B338C8E">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p>
    <w:p w14:paraId="4A962D0C">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p>
    <w:p w14:paraId="5F614C8A">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p>
    <w:p w14:paraId="0CFF5CDA">
      <w:pPr>
        <w:widowControl/>
        <w:shd w:val="clear"/>
        <w:spacing w:line="560" w:lineRule="exact"/>
        <w:ind w:firstLine="640" w:firstLineChars="200"/>
        <w:jc w:val="left"/>
        <w:outlineLvl w:val="2"/>
        <w:rPr>
          <w:rFonts w:hint="eastAsia" w:ascii="Times New Roman" w:hAnsi="Times New Roman" w:eastAsia="仿宋" w:cs="仿宋"/>
          <w:bCs/>
          <w:sz w:val="32"/>
          <w:szCs w:val="32"/>
          <w:highlight w:val="none"/>
          <w:lang w:val="en-US" w:eastAsia="zh-CN"/>
        </w:rPr>
      </w:pPr>
    </w:p>
    <w:p w14:paraId="6DDFDBC1">
      <w:pPr>
        <w:widowControl/>
        <w:shd w:val="clear"/>
        <w:spacing w:line="560" w:lineRule="exact"/>
        <w:ind w:firstLine="640" w:firstLineChars="200"/>
        <w:jc w:val="left"/>
        <w:outlineLvl w:val="2"/>
        <w:rPr>
          <w:rFonts w:hint="default"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3.专项资金情况</w:t>
      </w:r>
    </w:p>
    <w:p w14:paraId="086E59C0">
      <w:pPr>
        <w:widowControl/>
        <w:shd w:val="clear"/>
        <w:spacing w:line="560" w:lineRule="exact"/>
        <w:ind w:firstLine="640" w:firstLineChars="200"/>
        <w:jc w:val="left"/>
        <w:rPr>
          <w:rFonts w:hint="eastAsia" w:ascii="Times New Roman" w:hAnsi="Times New Roman" w:eastAsia="仿宋" w:cs="仿宋"/>
          <w:bCs/>
          <w:sz w:val="32"/>
          <w:szCs w:val="32"/>
          <w:highlight w:val="none"/>
          <w:lang w:eastAsia="zh-CN"/>
        </w:rPr>
      </w:pPr>
      <w:r>
        <w:rPr>
          <w:rFonts w:hint="eastAsia" w:ascii="Times New Roman" w:hAnsi="Times New Roman" w:eastAsia="仿宋" w:cs="仿宋"/>
          <w:bCs/>
          <w:sz w:val="32"/>
          <w:szCs w:val="32"/>
          <w:highlight w:val="none"/>
        </w:rPr>
        <w:t>2025年，南京市</w:t>
      </w:r>
      <w:r>
        <w:rPr>
          <w:rFonts w:hint="eastAsia" w:ascii="Times New Roman" w:hAnsi="Times New Roman" w:eastAsia="仿宋" w:cs="仿宋"/>
          <w:bCs/>
          <w:sz w:val="32"/>
          <w:szCs w:val="32"/>
          <w:highlight w:val="none"/>
          <w:lang w:val="en-US" w:eastAsia="zh-CN"/>
        </w:rPr>
        <w:t>中心医院</w:t>
      </w:r>
      <w:r>
        <w:rPr>
          <w:rFonts w:hint="eastAsia" w:ascii="Times New Roman" w:hAnsi="Times New Roman" w:eastAsia="仿宋" w:cs="仿宋"/>
          <w:bCs/>
          <w:sz w:val="32"/>
          <w:szCs w:val="32"/>
          <w:highlight w:val="none"/>
        </w:rPr>
        <w:t>预算</w:t>
      </w:r>
      <w:r>
        <w:rPr>
          <w:rFonts w:hint="eastAsia" w:ascii="Times New Roman" w:hAnsi="Times New Roman" w:eastAsia="仿宋" w:cs="仿宋"/>
          <w:bCs/>
          <w:sz w:val="32"/>
          <w:szCs w:val="32"/>
          <w:highlight w:val="none"/>
          <w:lang w:val="en-US" w:eastAsia="zh-CN"/>
        </w:rPr>
        <w:t>共</w:t>
      </w:r>
      <w:r>
        <w:rPr>
          <w:rFonts w:hint="eastAsia" w:ascii="Times New Roman" w:hAnsi="Times New Roman" w:eastAsia="仿宋" w:cs="仿宋"/>
          <w:bCs/>
          <w:sz w:val="32"/>
          <w:szCs w:val="32"/>
          <w:highlight w:val="none"/>
        </w:rPr>
        <w:t>涉及</w:t>
      </w:r>
      <w:r>
        <w:rPr>
          <w:rFonts w:hint="eastAsia" w:ascii="Times New Roman" w:hAnsi="Times New Roman" w:eastAsia="仿宋" w:cs="仿宋"/>
          <w:bCs/>
          <w:sz w:val="32"/>
          <w:szCs w:val="32"/>
          <w:highlight w:val="none"/>
          <w:lang w:val="en-US" w:eastAsia="zh-CN"/>
        </w:rPr>
        <w:t>2个</w:t>
      </w:r>
      <w:r>
        <w:rPr>
          <w:rFonts w:hint="eastAsia" w:ascii="Times New Roman" w:hAnsi="Times New Roman" w:eastAsia="仿宋" w:cs="仿宋"/>
          <w:bCs/>
          <w:sz w:val="32"/>
          <w:szCs w:val="32"/>
          <w:highlight w:val="none"/>
        </w:rPr>
        <w:t>专项资金项目</w:t>
      </w:r>
      <w:r>
        <w:rPr>
          <w:rFonts w:hint="eastAsia" w:ascii="Times New Roman" w:hAnsi="Times New Roman" w:eastAsia="仿宋" w:cs="仿宋"/>
          <w:bCs/>
          <w:sz w:val="32"/>
          <w:szCs w:val="32"/>
          <w:highlight w:val="none"/>
          <w:lang w:eastAsia="zh-CN"/>
        </w:rPr>
        <w:t>。</w:t>
      </w:r>
    </w:p>
    <w:p w14:paraId="0977C693">
      <w:pPr>
        <w:widowControl/>
        <w:shd w:val="clear"/>
        <w:spacing w:line="560" w:lineRule="exact"/>
        <w:ind w:firstLine="640" w:firstLineChars="200"/>
        <w:jc w:val="left"/>
        <w:rPr>
          <w:rFonts w:hint="default"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 xml:space="preserve">                                          单位：万元</w:t>
      </w:r>
    </w:p>
    <w:tbl>
      <w:tblPr>
        <w:tblStyle w:val="10"/>
        <w:tblpPr w:leftFromText="180" w:rightFromText="180" w:vertAnchor="text" w:horzAnchor="page" w:tblpX="1627" w:tblpY="71"/>
        <w:tblOverlap w:val="never"/>
        <w:tblW w:w="9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5"/>
        <w:gridCol w:w="1695"/>
        <w:gridCol w:w="1845"/>
        <w:gridCol w:w="2040"/>
      </w:tblGrid>
      <w:tr w14:paraId="66E1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5" w:type="dxa"/>
          </w:tcPr>
          <w:p w14:paraId="467FD750">
            <w:pPr>
              <w:widowControl/>
              <w:spacing w:line="560" w:lineRule="exact"/>
              <w:jc w:val="center"/>
              <w:rPr>
                <w:rFonts w:hint="eastAsia" w:ascii="Times New Roman" w:hAnsi="Times New Roman" w:eastAsia="仿宋" w:cs="仿宋"/>
                <w:bCs/>
                <w:sz w:val="28"/>
                <w:szCs w:val="28"/>
                <w:highlight w:val="none"/>
                <w:vertAlign w:val="baseline"/>
                <w:lang w:eastAsia="zh-CN"/>
              </w:rPr>
            </w:pPr>
            <w:r>
              <w:rPr>
                <w:rFonts w:hint="eastAsia" w:ascii="Times New Roman" w:hAnsi="Times New Roman" w:eastAsia="仿宋" w:cs="仿宋"/>
                <w:bCs/>
                <w:sz w:val="28"/>
                <w:szCs w:val="28"/>
                <w:highlight w:val="none"/>
                <w:vertAlign w:val="baseline"/>
                <w:lang w:eastAsia="zh-CN"/>
              </w:rPr>
              <w:t>项目名称</w:t>
            </w:r>
          </w:p>
        </w:tc>
        <w:tc>
          <w:tcPr>
            <w:tcW w:w="1695" w:type="dxa"/>
          </w:tcPr>
          <w:p w14:paraId="535C16D2">
            <w:pPr>
              <w:widowControl/>
              <w:spacing w:line="560" w:lineRule="exact"/>
              <w:jc w:val="center"/>
              <w:rPr>
                <w:rFonts w:hint="eastAsia" w:ascii="Times New Roman" w:hAnsi="Times New Roman" w:eastAsia="仿宋" w:cs="仿宋"/>
                <w:bCs/>
                <w:sz w:val="28"/>
                <w:szCs w:val="28"/>
                <w:highlight w:val="none"/>
                <w:vertAlign w:val="baseline"/>
                <w:lang w:eastAsia="zh-CN"/>
              </w:rPr>
            </w:pPr>
            <w:r>
              <w:rPr>
                <w:rFonts w:hint="eastAsia" w:ascii="Times New Roman" w:hAnsi="Times New Roman" w:eastAsia="仿宋" w:cs="仿宋"/>
                <w:bCs/>
                <w:sz w:val="28"/>
                <w:szCs w:val="28"/>
                <w:highlight w:val="none"/>
                <w:vertAlign w:val="baseline"/>
                <w:lang w:eastAsia="zh-CN"/>
              </w:rPr>
              <w:t>预算安排数</w:t>
            </w:r>
          </w:p>
        </w:tc>
        <w:tc>
          <w:tcPr>
            <w:tcW w:w="1845" w:type="dxa"/>
          </w:tcPr>
          <w:p w14:paraId="5AB58F48">
            <w:pPr>
              <w:widowControl/>
              <w:spacing w:line="560" w:lineRule="exact"/>
              <w:jc w:val="center"/>
              <w:rPr>
                <w:rFonts w:hint="eastAsia" w:ascii="Times New Roman" w:hAnsi="Times New Roman" w:eastAsia="仿宋" w:cs="仿宋"/>
                <w:bCs/>
                <w:sz w:val="28"/>
                <w:szCs w:val="28"/>
                <w:highlight w:val="none"/>
                <w:vertAlign w:val="baseline"/>
                <w:lang w:eastAsia="zh-CN"/>
              </w:rPr>
            </w:pPr>
            <w:r>
              <w:rPr>
                <w:rFonts w:hint="eastAsia" w:ascii="Times New Roman" w:hAnsi="Times New Roman" w:eastAsia="仿宋" w:cs="仿宋"/>
                <w:bCs/>
                <w:sz w:val="28"/>
                <w:szCs w:val="28"/>
                <w:highlight w:val="none"/>
                <w:vertAlign w:val="baseline"/>
                <w:lang w:eastAsia="zh-CN"/>
              </w:rPr>
              <w:t>决算支出数</w:t>
            </w:r>
          </w:p>
        </w:tc>
        <w:tc>
          <w:tcPr>
            <w:tcW w:w="2040" w:type="dxa"/>
          </w:tcPr>
          <w:p w14:paraId="09E0E2B8">
            <w:pPr>
              <w:widowControl/>
              <w:spacing w:line="560" w:lineRule="exact"/>
              <w:jc w:val="center"/>
              <w:rPr>
                <w:rFonts w:hint="eastAsia" w:ascii="Times New Roman" w:hAnsi="Times New Roman" w:eastAsia="仿宋" w:cs="仿宋"/>
                <w:bCs/>
                <w:sz w:val="28"/>
                <w:szCs w:val="28"/>
                <w:highlight w:val="none"/>
                <w:vertAlign w:val="baseline"/>
                <w:lang w:eastAsia="zh-CN"/>
              </w:rPr>
            </w:pPr>
            <w:r>
              <w:rPr>
                <w:rFonts w:hint="eastAsia" w:ascii="Times New Roman" w:hAnsi="Times New Roman" w:eastAsia="仿宋" w:cs="仿宋"/>
                <w:bCs/>
                <w:sz w:val="28"/>
                <w:szCs w:val="28"/>
                <w:highlight w:val="none"/>
                <w:vertAlign w:val="baseline"/>
                <w:lang w:eastAsia="zh-CN"/>
              </w:rPr>
              <w:t>预算执行率</w:t>
            </w:r>
          </w:p>
        </w:tc>
      </w:tr>
      <w:tr w14:paraId="0286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035" w:type="dxa"/>
          </w:tcPr>
          <w:p w14:paraId="1217CC6B">
            <w:pPr>
              <w:widowControl/>
              <w:spacing w:line="560" w:lineRule="exact"/>
              <w:jc w:val="left"/>
              <w:rPr>
                <w:rFonts w:hint="default" w:ascii="Times New Roman" w:hAnsi="Times New Roman" w:eastAsia="仿宋" w:cs="仿宋"/>
                <w:bCs/>
                <w:sz w:val="32"/>
                <w:szCs w:val="32"/>
                <w:highlight w:val="none"/>
                <w:vertAlign w:val="baseline"/>
                <w:lang w:val="en-US" w:eastAsia="zh-CN"/>
              </w:rPr>
            </w:pPr>
            <w:r>
              <w:rPr>
                <w:rFonts w:hint="eastAsia" w:ascii="Times New Roman" w:hAnsi="Times New Roman" w:eastAsia="仿宋" w:cs="仿宋"/>
                <w:bCs/>
                <w:sz w:val="28"/>
                <w:szCs w:val="28"/>
                <w:highlight w:val="none"/>
                <w:vertAlign w:val="baseline"/>
                <w:lang w:val="en-US" w:eastAsia="zh-CN"/>
              </w:rPr>
              <w:t>2025年第四批江苏省政府债券</w:t>
            </w:r>
          </w:p>
        </w:tc>
        <w:tc>
          <w:tcPr>
            <w:tcW w:w="1695" w:type="dxa"/>
          </w:tcPr>
          <w:p w14:paraId="67793875">
            <w:pPr>
              <w:widowControl/>
              <w:spacing w:line="560" w:lineRule="exact"/>
              <w:jc w:val="center"/>
              <w:rPr>
                <w:rFonts w:hint="default" w:ascii="Times New Roman" w:hAnsi="Times New Roman" w:eastAsia="仿宋" w:cs="仿宋"/>
                <w:bCs/>
                <w:sz w:val="28"/>
                <w:szCs w:val="28"/>
                <w:highlight w:val="none"/>
                <w:vertAlign w:val="baseline"/>
                <w:lang w:val="en-US" w:eastAsia="zh-CN"/>
              </w:rPr>
            </w:pPr>
            <w:r>
              <w:rPr>
                <w:rFonts w:hint="eastAsia" w:ascii="Times New Roman" w:hAnsi="Times New Roman" w:eastAsia="仿宋" w:cs="仿宋"/>
                <w:bCs/>
                <w:sz w:val="28"/>
                <w:szCs w:val="28"/>
                <w:highlight w:val="none"/>
                <w:vertAlign w:val="baseline"/>
                <w:lang w:val="en-US" w:eastAsia="zh-CN"/>
              </w:rPr>
              <w:t>10000</w:t>
            </w:r>
          </w:p>
        </w:tc>
        <w:tc>
          <w:tcPr>
            <w:tcW w:w="1845" w:type="dxa"/>
          </w:tcPr>
          <w:p w14:paraId="6DB4A9AE">
            <w:pPr>
              <w:widowControl/>
              <w:spacing w:line="560" w:lineRule="exact"/>
              <w:jc w:val="center"/>
              <w:rPr>
                <w:rFonts w:hint="default" w:ascii="Times New Roman" w:hAnsi="Times New Roman" w:eastAsia="仿宋" w:cs="仿宋"/>
                <w:bCs/>
                <w:sz w:val="28"/>
                <w:szCs w:val="28"/>
                <w:highlight w:val="none"/>
                <w:vertAlign w:val="baseline"/>
                <w:lang w:val="en-US" w:eastAsia="zh-CN"/>
              </w:rPr>
            </w:pPr>
            <w:r>
              <w:rPr>
                <w:rFonts w:hint="eastAsia" w:ascii="Times New Roman" w:hAnsi="Times New Roman" w:eastAsia="仿宋" w:cs="仿宋"/>
                <w:bCs/>
                <w:sz w:val="28"/>
                <w:szCs w:val="28"/>
                <w:highlight w:val="none"/>
                <w:vertAlign w:val="baseline"/>
                <w:lang w:val="en-US" w:eastAsia="zh-CN"/>
              </w:rPr>
              <w:t>10000</w:t>
            </w:r>
          </w:p>
        </w:tc>
        <w:tc>
          <w:tcPr>
            <w:tcW w:w="2040" w:type="dxa"/>
          </w:tcPr>
          <w:p w14:paraId="1807AB07">
            <w:pPr>
              <w:widowControl/>
              <w:spacing w:line="560" w:lineRule="exact"/>
              <w:jc w:val="center"/>
              <w:rPr>
                <w:rFonts w:hint="default" w:ascii="Times New Roman" w:hAnsi="Times New Roman" w:eastAsia="仿宋" w:cs="仿宋"/>
                <w:bCs/>
                <w:sz w:val="28"/>
                <w:szCs w:val="28"/>
                <w:highlight w:val="none"/>
                <w:vertAlign w:val="baseline"/>
                <w:lang w:val="en-US" w:eastAsia="zh-CN"/>
              </w:rPr>
            </w:pPr>
            <w:r>
              <w:rPr>
                <w:rFonts w:hint="eastAsia" w:ascii="Times New Roman" w:hAnsi="Times New Roman" w:eastAsia="仿宋" w:cs="仿宋"/>
                <w:bCs/>
                <w:sz w:val="28"/>
                <w:szCs w:val="28"/>
                <w:highlight w:val="none"/>
                <w:vertAlign w:val="baseline"/>
                <w:lang w:val="en-US" w:eastAsia="zh-CN"/>
              </w:rPr>
              <w:t>100%</w:t>
            </w:r>
          </w:p>
        </w:tc>
      </w:tr>
      <w:tr w14:paraId="3C59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4035" w:type="dxa"/>
          </w:tcPr>
          <w:p w14:paraId="70680E11">
            <w:pPr>
              <w:widowControl/>
              <w:spacing w:line="560" w:lineRule="exact"/>
              <w:jc w:val="left"/>
              <w:rPr>
                <w:rFonts w:hint="eastAsia" w:ascii="Times New Roman" w:hAnsi="Times New Roman" w:eastAsia="仿宋" w:cs="仿宋"/>
                <w:bCs/>
                <w:sz w:val="32"/>
                <w:szCs w:val="32"/>
                <w:highlight w:val="none"/>
                <w:vertAlign w:val="baseline"/>
                <w:lang w:eastAsia="zh-CN"/>
              </w:rPr>
            </w:pPr>
            <w:r>
              <w:rPr>
                <w:rFonts w:hint="eastAsia" w:ascii="Times New Roman" w:hAnsi="Times New Roman" w:eastAsia="仿宋" w:cs="仿宋"/>
                <w:bCs/>
                <w:sz w:val="28"/>
                <w:szCs w:val="28"/>
                <w:highlight w:val="none"/>
                <w:vertAlign w:val="baseline"/>
                <w:lang w:eastAsia="zh-CN"/>
              </w:rPr>
              <w:t>南京市老年病防治研究中心项目开办费</w:t>
            </w:r>
          </w:p>
        </w:tc>
        <w:tc>
          <w:tcPr>
            <w:tcW w:w="1695" w:type="dxa"/>
          </w:tcPr>
          <w:p w14:paraId="18BA62B8">
            <w:pPr>
              <w:widowControl/>
              <w:spacing w:line="560" w:lineRule="exact"/>
              <w:jc w:val="center"/>
              <w:rPr>
                <w:rFonts w:hint="default" w:ascii="Times New Roman" w:hAnsi="Times New Roman" w:eastAsia="仿宋" w:cs="仿宋"/>
                <w:bCs/>
                <w:sz w:val="28"/>
                <w:szCs w:val="28"/>
                <w:highlight w:val="none"/>
                <w:vertAlign w:val="baseline"/>
                <w:lang w:val="en-US" w:eastAsia="zh-CN"/>
              </w:rPr>
            </w:pPr>
            <w:r>
              <w:rPr>
                <w:rFonts w:hint="eastAsia" w:ascii="Times New Roman" w:hAnsi="Times New Roman" w:eastAsia="仿宋" w:cs="仿宋"/>
                <w:bCs/>
                <w:sz w:val="28"/>
                <w:szCs w:val="28"/>
                <w:highlight w:val="none"/>
                <w:vertAlign w:val="baseline"/>
                <w:lang w:val="en-US" w:eastAsia="zh-CN"/>
              </w:rPr>
              <w:t>3000</w:t>
            </w:r>
          </w:p>
        </w:tc>
        <w:tc>
          <w:tcPr>
            <w:tcW w:w="1845" w:type="dxa"/>
          </w:tcPr>
          <w:p w14:paraId="65A0B7A2">
            <w:pPr>
              <w:widowControl/>
              <w:spacing w:line="560" w:lineRule="exact"/>
              <w:jc w:val="center"/>
              <w:rPr>
                <w:rFonts w:hint="default" w:ascii="Times New Roman" w:hAnsi="Times New Roman" w:eastAsia="仿宋" w:cs="仿宋"/>
                <w:bCs/>
                <w:sz w:val="28"/>
                <w:szCs w:val="28"/>
                <w:highlight w:val="none"/>
                <w:vertAlign w:val="baseline"/>
                <w:lang w:val="en-US" w:eastAsia="zh-CN"/>
              </w:rPr>
            </w:pPr>
            <w:r>
              <w:rPr>
                <w:rFonts w:hint="eastAsia" w:ascii="Times New Roman" w:hAnsi="Times New Roman" w:eastAsia="仿宋" w:cs="仿宋"/>
                <w:bCs/>
                <w:sz w:val="28"/>
                <w:szCs w:val="28"/>
                <w:highlight w:val="none"/>
                <w:vertAlign w:val="baseline"/>
                <w:lang w:val="en-US" w:eastAsia="zh-CN"/>
              </w:rPr>
              <w:t>3000</w:t>
            </w:r>
          </w:p>
        </w:tc>
        <w:tc>
          <w:tcPr>
            <w:tcW w:w="2040" w:type="dxa"/>
          </w:tcPr>
          <w:p w14:paraId="41403E4C">
            <w:pPr>
              <w:widowControl/>
              <w:spacing w:line="560" w:lineRule="exact"/>
              <w:jc w:val="center"/>
              <w:rPr>
                <w:rFonts w:hint="default" w:ascii="Times New Roman" w:hAnsi="Times New Roman" w:eastAsia="仿宋" w:cs="仿宋"/>
                <w:bCs/>
                <w:sz w:val="28"/>
                <w:szCs w:val="28"/>
                <w:highlight w:val="none"/>
                <w:vertAlign w:val="baseline"/>
                <w:lang w:val="en-US" w:eastAsia="zh-CN"/>
              </w:rPr>
            </w:pPr>
            <w:r>
              <w:rPr>
                <w:rFonts w:hint="eastAsia" w:ascii="Times New Roman" w:hAnsi="Times New Roman" w:eastAsia="仿宋" w:cs="仿宋"/>
                <w:bCs/>
                <w:sz w:val="28"/>
                <w:szCs w:val="28"/>
                <w:highlight w:val="none"/>
                <w:vertAlign w:val="baseline"/>
                <w:lang w:val="en-US" w:eastAsia="zh-CN"/>
              </w:rPr>
              <w:t>100%</w:t>
            </w:r>
          </w:p>
        </w:tc>
      </w:tr>
    </w:tbl>
    <w:p w14:paraId="2D2047D5">
      <w:pPr>
        <w:widowControl/>
        <w:shd w:val="clear"/>
        <w:spacing w:line="560" w:lineRule="exact"/>
        <w:ind w:firstLine="640" w:firstLineChars="200"/>
        <w:jc w:val="left"/>
        <w:rPr>
          <w:rFonts w:hint="eastAsia" w:ascii="Times New Roman" w:hAnsi="Times New Roman" w:eastAsia="仿宋" w:cs="仿宋"/>
          <w:bCs/>
          <w:sz w:val="32"/>
          <w:szCs w:val="32"/>
          <w:highlight w:val="none"/>
          <w:lang w:eastAsia="zh-CN"/>
        </w:rPr>
      </w:pPr>
    </w:p>
    <w:p w14:paraId="49A6DAD9">
      <w:pPr>
        <w:widowControl/>
        <w:shd w:val="clear"/>
        <w:spacing w:line="560" w:lineRule="exact"/>
        <w:ind w:firstLine="640" w:firstLineChars="200"/>
        <w:jc w:val="left"/>
        <w:rPr>
          <w:rFonts w:hint="eastAsia" w:ascii="Times New Roman" w:hAnsi="Times New Roman" w:eastAsia="仿宋" w:cs="仿宋"/>
          <w:bCs/>
          <w:sz w:val="32"/>
          <w:szCs w:val="32"/>
          <w:highlight w:val="none"/>
          <w:lang w:eastAsia="zh-CN"/>
        </w:rPr>
      </w:pPr>
    </w:p>
    <w:p w14:paraId="1E8B271A">
      <w:pPr>
        <w:shd w:val="clear"/>
        <w:spacing w:line="560" w:lineRule="exact"/>
        <w:ind w:firstLine="643" w:firstLineChars="200"/>
        <w:outlineLvl w:val="1"/>
        <w:rPr>
          <w:rFonts w:ascii="Times New Roman" w:hAnsi="Times New Roman" w:eastAsia="楷体" w:cs="楷体"/>
          <w:b/>
          <w:bCs/>
          <w:color w:val="000000"/>
          <w:kern w:val="0"/>
          <w:sz w:val="32"/>
          <w:szCs w:val="32"/>
          <w:highlight w:val="none"/>
        </w:rPr>
      </w:pPr>
      <w:r>
        <w:rPr>
          <w:rFonts w:hint="eastAsia" w:ascii="Times New Roman" w:hAnsi="Times New Roman" w:eastAsia="楷体" w:cs="楷体"/>
          <w:b/>
          <w:bCs/>
          <w:color w:val="000000"/>
          <w:kern w:val="0"/>
          <w:sz w:val="32"/>
          <w:szCs w:val="32"/>
          <w:highlight w:val="none"/>
        </w:rPr>
        <w:t>（三）单位绩效目标</w:t>
      </w:r>
    </w:p>
    <w:p w14:paraId="74216294">
      <w:pPr>
        <w:pStyle w:val="15"/>
        <w:shd w:val="clear"/>
        <w:spacing w:before="0" w:after="0" w:line="560" w:lineRule="exact"/>
        <w:ind w:firstLine="640" w:firstLineChars="200"/>
        <w:jc w:val="both"/>
        <w:outlineLvl w:val="2"/>
        <w:rPr>
          <w:rFonts w:ascii="Times New Roman" w:hAnsi="Times New Roman" w:eastAsia="仿宋" w:cs="仿宋"/>
          <w:b w:val="0"/>
          <w:sz w:val="32"/>
          <w:szCs w:val="32"/>
          <w:highlight w:val="none"/>
        </w:rPr>
      </w:pPr>
      <w:r>
        <w:rPr>
          <w:rFonts w:hint="eastAsia" w:ascii="Times New Roman" w:hAnsi="Times New Roman" w:eastAsia="仿宋" w:cs="仿宋"/>
          <w:b w:val="0"/>
          <w:sz w:val="32"/>
          <w:szCs w:val="32"/>
          <w:highlight w:val="none"/>
        </w:rPr>
        <w:t>1.中长期目标</w:t>
      </w:r>
    </w:p>
    <w:p w14:paraId="5C36DD4F">
      <w:pPr>
        <w:pStyle w:val="8"/>
        <w:widowControl/>
        <w:shd w:val="clear" w:color="auto"/>
        <w:spacing w:before="0" w:beforeAutospacing="0" w:after="0" w:afterAutospacing="0" w:line="560" w:lineRule="exact"/>
        <w:ind w:firstLine="640" w:firstLineChars="200"/>
        <w:rPr>
          <w:rFonts w:ascii="Times New Roman" w:hAnsi="Times New Roman" w:eastAsia="仿宋" w:cs="仿宋"/>
          <w:kern w:val="2"/>
          <w:sz w:val="32"/>
          <w:szCs w:val="32"/>
          <w:highlight w:val="none"/>
        </w:rPr>
      </w:pPr>
      <w:r>
        <w:rPr>
          <w:rFonts w:hint="eastAsia" w:ascii="Times New Roman" w:hAnsi="Times New Roman" w:eastAsia="仿宋" w:cs="仿宋"/>
          <w:sz w:val="32"/>
          <w:szCs w:val="32"/>
          <w:highlight w:val="none"/>
        </w:rPr>
        <w:t>落实公立医院公益性与党委领导下的院长负责制，深化内部经济运营改革，将薪酬分配与医改要求和为民服务本质融合；加强党政领导班子建设，规范议事决策程序，加快管理干部梯队及年轻后备干部培养；坚持人才兴院，注重“外引内培”，完善人才使用管理；构建涵盖预防、诊治、康复、照护、安宁疗护的老年健康服务体系，加快建设老年病防治研究中心和养老护理院，向上对接高水平医院，向下辐射基层；加强平台与业务科室建设，与高校、院所、企业合作，实施临床专科“卓越、精品、支撑、培育”工程，推动技术攻关与诊疗新方案产出；推动“以疾病为中心”向“以健康为中心”转变，持续创建老年友善医疗机构、文明单位，加强人文关怀、公益慈善和志愿服务。</w:t>
      </w:r>
    </w:p>
    <w:p w14:paraId="53D80B5C">
      <w:pPr>
        <w:pStyle w:val="15"/>
        <w:shd w:val="clear"/>
        <w:spacing w:before="0" w:after="0" w:line="560" w:lineRule="exact"/>
        <w:ind w:firstLine="640" w:firstLineChars="200"/>
        <w:jc w:val="both"/>
        <w:outlineLvl w:val="2"/>
        <w:rPr>
          <w:rFonts w:ascii="Times New Roman" w:hAnsi="Times New Roman" w:eastAsia="仿宋" w:cs="仿宋"/>
          <w:b w:val="0"/>
          <w:sz w:val="32"/>
          <w:szCs w:val="32"/>
          <w:highlight w:val="none"/>
        </w:rPr>
      </w:pPr>
      <w:r>
        <w:rPr>
          <w:rFonts w:hint="eastAsia" w:ascii="Times New Roman" w:hAnsi="Times New Roman" w:eastAsia="仿宋" w:cs="仿宋"/>
          <w:b w:val="0"/>
          <w:sz w:val="32"/>
          <w:szCs w:val="32"/>
          <w:highlight w:val="none"/>
        </w:rPr>
        <w:t>2.年度</w:t>
      </w:r>
      <w:r>
        <w:rPr>
          <w:rFonts w:hint="eastAsia" w:ascii="Times New Roman" w:hAnsi="Times New Roman" w:eastAsia="仿宋" w:cs="仿宋"/>
          <w:b w:val="0"/>
          <w:sz w:val="32"/>
          <w:szCs w:val="32"/>
          <w:highlight w:val="none"/>
          <w:lang w:val="en-US" w:eastAsia="zh-CN"/>
        </w:rPr>
        <w:t>绩效</w:t>
      </w:r>
      <w:r>
        <w:rPr>
          <w:rFonts w:hint="eastAsia" w:ascii="Times New Roman" w:hAnsi="Times New Roman" w:eastAsia="仿宋" w:cs="仿宋"/>
          <w:b w:val="0"/>
          <w:sz w:val="32"/>
          <w:szCs w:val="32"/>
          <w:highlight w:val="none"/>
        </w:rPr>
        <w:t>目标</w:t>
      </w:r>
    </w:p>
    <w:p w14:paraId="0F26C332">
      <w:pPr>
        <w:pStyle w:val="5"/>
        <w:shd w:val="clear"/>
        <w:spacing w:line="560" w:lineRule="exact"/>
        <w:ind w:firstLine="640" w:firstLineChars="200"/>
        <w:rPr>
          <w:rFonts w:ascii="Times New Roman" w:hAnsi="Times New Roman" w:eastAsia="仿宋" w:cs="仿宋"/>
          <w:sz w:val="32"/>
          <w:szCs w:val="32"/>
          <w:highlight w:val="none"/>
        </w:rPr>
      </w:pPr>
      <w:r>
        <w:rPr>
          <w:rFonts w:hint="eastAsia" w:ascii="Times New Roman" w:hAnsi="Times New Roman" w:eastAsia="仿宋" w:cs="仿宋"/>
          <w:sz w:val="32"/>
          <w:szCs w:val="32"/>
          <w:highlight w:val="none"/>
        </w:rPr>
        <w:t>以推进“南京市老年病防治研究中心”市级重点项目建设为着力点，以深化与南京鼓楼医院合作为载体，强化体系、技术、管理、治理创新，建设与三级老年病医院功能定位相匹配的医疗服务体系，推动发展方式向提质增效、运行模式向精细化管理、资源配置向注重人才技术要素转变，</w:t>
      </w:r>
      <w:r>
        <w:rPr>
          <w:rFonts w:hint="eastAsia" w:ascii="Times New Roman" w:hAnsi="Times New Roman" w:eastAsia="仿宋" w:cs="仿宋"/>
          <w:sz w:val="32"/>
          <w:szCs w:val="32"/>
          <w:highlight w:val="none"/>
          <w:lang w:eastAsia="zh-CN"/>
        </w:rPr>
        <w:t>更好地服务</w:t>
      </w:r>
      <w:r>
        <w:rPr>
          <w:rFonts w:hint="eastAsia" w:ascii="Times New Roman" w:hAnsi="Times New Roman" w:eastAsia="仿宋" w:cs="仿宋"/>
          <w:sz w:val="32"/>
          <w:szCs w:val="32"/>
          <w:highlight w:val="none"/>
        </w:rPr>
        <w:t>南京“全面建设人民满意的社会主义现代化典范城市”目标及机关干部和人民群众健康。</w:t>
      </w:r>
    </w:p>
    <w:p w14:paraId="548C07CF">
      <w:pPr>
        <w:pStyle w:val="2"/>
        <w:shd w:val="clear"/>
        <w:spacing w:before="0" w:after="0" w:line="560" w:lineRule="exact"/>
        <w:ind w:firstLine="640" w:firstLineChars="200"/>
        <w:rPr>
          <w:rFonts w:ascii="Times New Roman" w:hAnsi="Times New Roman" w:eastAsia="黑体" w:cs="Times New Roman"/>
          <w:b w:val="0"/>
          <w:bCs w:val="0"/>
          <w:kern w:val="2"/>
          <w:sz w:val="32"/>
          <w:szCs w:val="32"/>
          <w:highlight w:val="none"/>
        </w:rPr>
      </w:pPr>
      <w:r>
        <w:rPr>
          <w:rFonts w:ascii="Times New Roman" w:hAnsi="Times New Roman" w:eastAsia="黑体" w:cs="Times New Roman"/>
          <w:b w:val="0"/>
          <w:bCs w:val="0"/>
          <w:kern w:val="2"/>
          <w:sz w:val="32"/>
          <w:szCs w:val="32"/>
          <w:highlight w:val="none"/>
        </w:rPr>
        <w:t>二、评价结论</w:t>
      </w:r>
    </w:p>
    <w:p w14:paraId="5D823CFC">
      <w:pPr>
        <w:shd w:val="clear"/>
        <w:spacing w:line="560" w:lineRule="exact"/>
        <w:ind w:firstLine="643" w:firstLineChars="200"/>
        <w:outlineLvl w:val="1"/>
        <w:rPr>
          <w:rFonts w:hint="default" w:ascii="Times New Roman" w:hAnsi="Times New Roman" w:eastAsia="楷体" w:cs="楷体"/>
          <w:b/>
          <w:bCs/>
          <w:sz w:val="32"/>
          <w:szCs w:val="32"/>
          <w:highlight w:val="none"/>
          <w:lang w:val="en-US" w:eastAsia="zh-CN"/>
        </w:rPr>
      </w:pP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一</w:t>
      </w: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评价对象与范围</w:t>
      </w:r>
    </w:p>
    <w:p w14:paraId="458D2DF0">
      <w:pPr>
        <w:shd w:val="clear"/>
        <w:spacing w:line="560" w:lineRule="exact"/>
        <w:ind w:firstLine="640" w:firstLineChars="200"/>
        <w:rPr>
          <w:rFonts w:hint="eastAsia" w:ascii="Times New Roman" w:hAnsi="Times New Roman" w:eastAsia="仿宋" w:cs="仿宋"/>
          <w:sz w:val="32"/>
          <w:szCs w:val="32"/>
          <w:highlight w:val="none"/>
        </w:rPr>
      </w:pPr>
      <w:r>
        <w:rPr>
          <w:rFonts w:hint="eastAsia" w:ascii="Times New Roman" w:hAnsi="Times New Roman" w:eastAsia="仿宋" w:cs="仿宋"/>
          <w:sz w:val="32"/>
          <w:szCs w:val="32"/>
          <w:highlight w:val="none"/>
        </w:rPr>
        <w:t>本次评价对象为南京市</w:t>
      </w:r>
      <w:r>
        <w:rPr>
          <w:rFonts w:hint="eastAsia" w:ascii="Times New Roman" w:hAnsi="Times New Roman" w:eastAsia="仿宋" w:cs="仿宋"/>
          <w:sz w:val="32"/>
          <w:szCs w:val="32"/>
          <w:highlight w:val="none"/>
          <w:lang w:val="en-US" w:eastAsia="zh-CN"/>
        </w:rPr>
        <w:t>中心医院</w:t>
      </w:r>
      <w:r>
        <w:rPr>
          <w:rFonts w:hint="eastAsia" w:ascii="Times New Roman" w:hAnsi="Times New Roman" w:eastAsia="仿宋" w:cs="仿宋"/>
          <w:sz w:val="32"/>
          <w:szCs w:val="32"/>
          <w:highlight w:val="none"/>
        </w:rPr>
        <w:t>部门整体资金</w:t>
      </w:r>
      <w:r>
        <w:rPr>
          <w:rFonts w:hint="eastAsia" w:ascii="Times New Roman" w:hAnsi="Times New Roman" w:eastAsia="仿宋" w:cs="仿宋"/>
          <w:sz w:val="32"/>
          <w:szCs w:val="32"/>
          <w:highlight w:val="none"/>
          <w:lang w:val="en-US" w:eastAsia="zh-CN"/>
        </w:rPr>
        <w:t>55127.91</w:t>
      </w:r>
      <w:r>
        <w:rPr>
          <w:rFonts w:hint="eastAsia" w:ascii="Times New Roman" w:hAnsi="Times New Roman" w:eastAsia="仿宋" w:cs="仿宋"/>
          <w:sz w:val="32"/>
          <w:szCs w:val="32"/>
          <w:highlight w:val="none"/>
        </w:rPr>
        <w:t>万元，包括基本支出</w:t>
      </w:r>
      <w:r>
        <w:rPr>
          <w:rFonts w:hint="eastAsia" w:ascii="Times New Roman" w:hAnsi="Times New Roman" w:eastAsia="仿宋" w:cs="仿宋"/>
          <w:sz w:val="32"/>
          <w:szCs w:val="32"/>
          <w:highlight w:val="none"/>
          <w:lang w:val="en-US" w:eastAsia="zh-CN"/>
        </w:rPr>
        <w:t>15873.24万元、</w:t>
      </w:r>
      <w:r>
        <w:rPr>
          <w:rFonts w:hint="eastAsia" w:ascii="Times New Roman" w:hAnsi="Times New Roman" w:eastAsia="仿宋" w:cs="仿宋"/>
          <w:sz w:val="32"/>
          <w:szCs w:val="32"/>
          <w:highlight w:val="none"/>
        </w:rPr>
        <w:t>项目支出</w:t>
      </w:r>
      <w:r>
        <w:rPr>
          <w:rFonts w:hint="eastAsia" w:ascii="Times New Roman" w:hAnsi="Times New Roman" w:eastAsia="仿宋" w:cs="仿宋"/>
          <w:sz w:val="32"/>
          <w:szCs w:val="32"/>
          <w:highlight w:val="none"/>
          <w:lang w:val="en-US" w:eastAsia="zh-CN"/>
        </w:rPr>
        <w:t>38187.99万元和经营支出1066.68万元</w:t>
      </w:r>
      <w:r>
        <w:rPr>
          <w:rFonts w:hint="eastAsia" w:ascii="Times New Roman" w:hAnsi="Times New Roman" w:eastAsia="仿宋" w:cs="仿宋"/>
          <w:sz w:val="32"/>
          <w:szCs w:val="32"/>
          <w:highlight w:val="none"/>
        </w:rPr>
        <w:t>。评价时段为2025年1月1日至12月31日。</w:t>
      </w:r>
      <w:r>
        <w:rPr>
          <w:rFonts w:hint="eastAsia" w:ascii="Times New Roman" w:hAnsi="Times New Roman" w:eastAsia="仿宋" w:cs="仿宋"/>
          <w:sz w:val="32"/>
          <w:szCs w:val="32"/>
          <w:highlight w:val="none"/>
          <w:lang w:val="en-US" w:eastAsia="zh-CN"/>
        </w:rPr>
        <w:t>本次</w:t>
      </w:r>
      <w:r>
        <w:rPr>
          <w:rFonts w:hint="eastAsia" w:ascii="Times New Roman" w:hAnsi="Times New Roman" w:eastAsia="仿宋" w:cs="仿宋"/>
          <w:sz w:val="32"/>
          <w:szCs w:val="32"/>
          <w:highlight w:val="none"/>
        </w:rPr>
        <w:t>评价范围为2025年度市级预算部门（单位）及所属单位使用市级财政资金的一般公共预算支出、政府性基金预算支出、国有资本经营预算支出和社会保险基金预算支出。</w:t>
      </w:r>
    </w:p>
    <w:tbl>
      <w:tblPr>
        <w:tblStyle w:val="9"/>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936"/>
        <w:gridCol w:w="1366"/>
        <w:gridCol w:w="1366"/>
        <w:gridCol w:w="1466"/>
        <w:gridCol w:w="1466"/>
        <w:gridCol w:w="1467"/>
        <w:gridCol w:w="1469"/>
      </w:tblGrid>
      <w:tr w14:paraId="6FDF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936" w:type="dxa"/>
            <w:vMerge w:val="restart"/>
            <w:shd w:val="clear" w:color="auto" w:fill="FFFFFF"/>
            <w:vAlign w:val="center"/>
          </w:tcPr>
          <w:p w14:paraId="7D7446EA">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财政拨款</w:t>
            </w:r>
          </w:p>
        </w:tc>
        <w:tc>
          <w:tcPr>
            <w:tcW w:w="0" w:type="auto"/>
            <w:gridSpan w:val="2"/>
            <w:shd w:val="clear" w:color="auto" w:fill="FFFFFF"/>
            <w:vAlign w:val="center"/>
          </w:tcPr>
          <w:p w14:paraId="6BF74006">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年初预算数</w:t>
            </w:r>
            <w:r>
              <w:rPr>
                <w:rFonts w:hint="eastAsia" w:eastAsia="仿宋" w:cs="仿宋"/>
                <w:b/>
                <w:sz w:val="20"/>
                <w:szCs w:val="20"/>
                <w:highlight w:val="none"/>
                <w:lang w:val="en-US" w:eastAsia="zh-CN"/>
              </w:rPr>
              <w:t>（元）</w:t>
            </w:r>
          </w:p>
        </w:tc>
        <w:tc>
          <w:tcPr>
            <w:tcW w:w="0" w:type="auto"/>
            <w:gridSpan w:val="2"/>
            <w:shd w:val="clear" w:color="auto" w:fill="FFFFFF"/>
            <w:vAlign w:val="center"/>
          </w:tcPr>
          <w:p w14:paraId="5C119F09">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全年预算数</w:t>
            </w:r>
            <w:r>
              <w:rPr>
                <w:rFonts w:hint="eastAsia" w:eastAsia="仿宋" w:cs="仿宋"/>
                <w:b/>
                <w:sz w:val="20"/>
                <w:szCs w:val="20"/>
                <w:highlight w:val="none"/>
                <w:lang w:val="en-US" w:eastAsia="zh-CN"/>
              </w:rPr>
              <w:t>（元）</w:t>
            </w:r>
          </w:p>
        </w:tc>
        <w:tc>
          <w:tcPr>
            <w:tcW w:w="2936" w:type="dxa"/>
            <w:gridSpan w:val="2"/>
            <w:shd w:val="clear" w:color="auto" w:fill="FFFFFF"/>
            <w:vAlign w:val="center"/>
          </w:tcPr>
          <w:p w14:paraId="46EF77C2">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决算数</w:t>
            </w:r>
            <w:r>
              <w:rPr>
                <w:rFonts w:hint="eastAsia" w:eastAsia="仿宋" w:cs="仿宋"/>
                <w:b/>
                <w:sz w:val="20"/>
                <w:szCs w:val="20"/>
                <w:highlight w:val="none"/>
                <w:lang w:val="en-US" w:eastAsia="zh-CN"/>
              </w:rPr>
              <w:t>（元）</w:t>
            </w:r>
          </w:p>
        </w:tc>
      </w:tr>
      <w:tr w14:paraId="01B8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36" w:type="dxa"/>
            <w:vMerge w:val="continue"/>
            <w:shd w:val="clear" w:color="auto" w:fill="FFFFFF"/>
            <w:vAlign w:val="center"/>
          </w:tcPr>
          <w:p w14:paraId="29C370C0">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p>
        </w:tc>
        <w:tc>
          <w:tcPr>
            <w:tcW w:w="0" w:type="auto"/>
            <w:shd w:val="clear" w:color="auto" w:fill="FFFFFF"/>
            <w:vAlign w:val="center"/>
          </w:tcPr>
          <w:p w14:paraId="7ADF8F47">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收入</w:t>
            </w:r>
          </w:p>
        </w:tc>
        <w:tc>
          <w:tcPr>
            <w:tcW w:w="0" w:type="auto"/>
            <w:shd w:val="clear" w:color="auto" w:fill="FFFFFF"/>
            <w:vAlign w:val="center"/>
          </w:tcPr>
          <w:p w14:paraId="3ABD3005">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支出</w:t>
            </w:r>
          </w:p>
        </w:tc>
        <w:tc>
          <w:tcPr>
            <w:tcW w:w="0" w:type="auto"/>
            <w:shd w:val="clear" w:color="auto" w:fill="FFFFFF"/>
            <w:vAlign w:val="center"/>
          </w:tcPr>
          <w:p w14:paraId="36DC65A6">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收入</w:t>
            </w:r>
          </w:p>
        </w:tc>
        <w:tc>
          <w:tcPr>
            <w:tcW w:w="0" w:type="auto"/>
            <w:shd w:val="clear" w:color="auto" w:fill="FFFFFF"/>
            <w:vAlign w:val="center"/>
          </w:tcPr>
          <w:p w14:paraId="2B0D689D">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支出</w:t>
            </w:r>
          </w:p>
        </w:tc>
        <w:tc>
          <w:tcPr>
            <w:tcW w:w="0" w:type="auto"/>
            <w:shd w:val="clear" w:color="auto" w:fill="FFFFFF"/>
            <w:vAlign w:val="center"/>
          </w:tcPr>
          <w:p w14:paraId="7214D00C">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收入</w:t>
            </w:r>
          </w:p>
        </w:tc>
        <w:tc>
          <w:tcPr>
            <w:tcW w:w="1469" w:type="dxa"/>
            <w:shd w:val="clear" w:color="auto" w:fill="FFFFFF"/>
            <w:vAlign w:val="center"/>
          </w:tcPr>
          <w:p w14:paraId="33825EAA">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支出</w:t>
            </w:r>
          </w:p>
        </w:tc>
      </w:tr>
      <w:tr w14:paraId="40DB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1DC920B5">
            <w:pPr>
              <w:pStyle w:val="12"/>
              <w:snapToGrid w:val="0"/>
              <w:ind w:left="0" w:leftChars="0" w:right="0" w:rightChars="0" w:firstLine="0" w:firstLineChars="0"/>
              <w:jc w:val="center"/>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一般公共预算</w:t>
            </w:r>
          </w:p>
        </w:tc>
        <w:tc>
          <w:tcPr>
            <w:tcW w:w="0" w:type="auto"/>
            <w:shd w:val="clear" w:color="auto" w:fill="FFFFFF"/>
            <w:noWrap/>
            <w:vAlign w:val="center"/>
          </w:tcPr>
          <w:p w14:paraId="079C9244">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14,248,600.00</w:t>
            </w:r>
          </w:p>
        </w:tc>
        <w:tc>
          <w:tcPr>
            <w:tcW w:w="0" w:type="auto"/>
            <w:shd w:val="clear" w:color="auto" w:fill="FFFFFF"/>
            <w:noWrap/>
            <w:vAlign w:val="center"/>
          </w:tcPr>
          <w:p w14:paraId="2BB99540">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14,248,600.00</w:t>
            </w:r>
          </w:p>
        </w:tc>
        <w:tc>
          <w:tcPr>
            <w:tcW w:w="0" w:type="auto"/>
            <w:shd w:val="clear" w:color="auto" w:fill="FFFFFF"/>
            <w:noWrap/>
            <w:vAlign w:val="center"/>
          </w:tcPr>
          <w:p w14:paraId="78A83583">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49,145,644.00</w:t>
            </w:r>
          </w:p>
        </w:tc>
        <w:tc>
          <w:tcPr>
            <w:tcW w:w="0" w:type="auto"/>
            <w:shd w:val="clear" w:color="auto" w:fill="FFFFFF"/>
            <w:noWrap/>
            <w:vAlign w:val="center"/>
          </w:tcPr>
          <w:p w14:paraId="0F2616BA">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49,320,533.65</w:t>
            </w:r>
          </w:p>
        </w:tc>
        <w:tc>
          <w:tcPr>
            <w:tcW w:w="0" w:type="auto"/>
            <w:shd w:val="clear" w:color="auto" w:fill="FFFFFF"/>
            <w:noWrap/>
            <w:vAlign w:val="center"/>
          </w:tcPr>
          <w:p w14:paraId="396B60BD">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49,145,644.00</w:t>
            </w:r>
          </w:p>
        </w:tc>
        <w:tc>
          <w:tcPr>
            <w:tcW w:w="1469" w:type="dxa"/>
            <w:shd w:val="clear" w:color="auto" w:fill="FFFFFF"/>
            <w:noWrap/>
            <w:vAlign w:val="center"/>
          </w:tcPr>
          <w:p w14:paraId="05BBD95A">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49,320,533.65</w:t>
            </w:r>
          </w:p>
        </w:tc>
      </w:tr>
      <w:tr w14:paraId="5730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609800E9">
            <w:pPr>
              <w:pStyle w:val="12"/>
              <w:snapToGrid w:val="0"/>
              <w:ind w:left="0" w:leftChars="0" w:right="0" w:rightChars="0" w:firstLine="0" w:firstLineChars="0"/>
              <w:jc w:val="center"/>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政府性基金预算</w:t>
            </w:r>
          </w:p>
        </w:tc>
        <w:tc>
          <w:tcPr>
            <w:tcW w:w="0" w:type="auto"/>
            <w:shd w:val="clear" w:color="auto" w:fill="FFFFFF"/>
            <w:vAlign w:val="center"/>
          </w:tcPr>
          <w:p w14:paraId="4C9174D7">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4D99CF31">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noWrap/>
            <w:vAlign w:val="center"/>
          </w:tcPr>
          <w:p w14:paraId="5B9CA15B">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100,000,000.00</w:t>
            </w:r>
          </w:p>
        </w:tc>
        <w:tc>
          <w:tcPr>
            <w:tcW w:w="0" w:type="auto"/>
            <w:shd w:val="clear" w:color="auto" w:fill="FFFFFF"/>
            <w:noWrap/>
            <w:vAlign w:val="center"/>
          </w:tcPr>
          <w:p w14:paraId="3D82C1DA">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100,000,000.00</w:t>
            </w:r>
          </w:p>
        </w:tc>
        <w:tc>
          <w:tcPr>
            <w:tcW w:w="0" w:type="auto"/>
            <w:shd w:val="clear" w:color="auto" w:fill="FFFFFF"/>
            <w:noWrap/>
            <w:vAlign w:val="center"/>
          </w:tcPr>
          <w:p w14:paraId="7C26DA7E">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100,000,000.00</w:t>
            </w:r>
          </w:p>
        </w:tc>
        <w:tc>
          <w:tcPr>
            <w:tcW w:w="1469" w:type="dxa"/>
            <w:shd w:val="clear" w:color="auto" w:fill="FFFFFF"/>
            <w:noWrap/>
            <w:vAlign w:val="center"/>
          </w:tcPr>
          <w:p w14:paraId="62E71C34">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100,000,000.00</w:t>
            </w:r>
          </w:p>
        </w:tc>
      </w:tr>
      <w:tr w14:paraId="51B3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031F1214">
            <w:pPr>
              <w:pStyle w:val="12"/>
              <w:snapToGrid w:val="0"/>
              <w:ind w:left="0" w:leftChars="0" w:right="0" w:rightChars="0" w:firstLine="0" w:firstLineChars="0"/>
              <w:jc w:val="center"/>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国有资本经营预算</w:t>
            </w:r>
          </w:p>
        </w:tc>
        <w:tc>
          <w:tcPr>
            <w:tcW w:w="0" w:type="auto"/>
            <w:shd w:val="clear" w:color="auto" w:fill="FFFFFF"/>
            <w:vAlign w:val="center"/>
          </w:tcPr>
          <w:p w14:paraId="0E7EB412">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482C9DA0">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2BDAC0DA">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5F37BD34">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0687C358">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1469" w:type="dxa"/>
            <w:shd w:val="clear" w:color="auto" w:fill="FFFFFF"/>
            <w:vAlign w:val="center"/>
          </w:tcPr>
          <w:p w14:paraId="7B305E34">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r>
      <w:tr w14:paraId="5001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4AD7F68D">
            <w:pPr>
              <w:pStyle w:val="12"/>
              <w:snapToGrid w:val="0"/>
              <w:ind w:left="0" w:leftChars="0" w:right="0" w:rightChars="0" w:firstLine="0" w:firstLineChars="0"/>
              <w:jc w:val="center"/>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社会保险基金预算</w:t>
            </w:r>
          </w:p>
        </w:tc>
        <w:tc>
          <w:tcPr>
            <w:tcW w:w="0" w:type="auto"/>
            <w:shd w:val="clear" w:color="auto" w:fill="FFFFFF"/>
            <w:vAlign w:val="center"/>
          </w:tcPr>
          <w:p w14:paraId="62D79F7F">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493866C4">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65A5B317">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4FA66FB5">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5423B5A1">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1469" w:type="dxa"/>
            <w:shd w:val="clear" w:color="auto" w:fill="FFFFFF"/>
            <w:vAlign w:val="center"/>
          </w:tcPr>
          <w:p w14:paraId="097E6FFA">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r>
      <w:tr w14:paraId="39F7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1ED7D0A3">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小计</w:t>
            </w:r>
          </w:p>
        </w:tc>
        <w:tc>
          <w:tcPr>
            <w:tcW w:w="0" w:type="auto"/>
            <w:shd w:val="clear" w:color="auto" w:fill="FFFFFF"/>
            <w:noWrap/>
            <w:vAlign w:val="center"/>
          </w:tcPr>
          <w:p w14:paraId="1810A38A">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14,248,600.00</w:t>
            </w:r>
          </w:p>
        </w:tc>
        <w:tc>
          <w:tcPr>
            <w:tcW w:w="0" w:type="auto"/>
            <w:shd w:val="clear" w:color="auto" w:fill="FFFFFF"/>
            <w:noWrap/>
            <w:vAlign w:val="center"/>
          </w:tcPr>
          <w:p w14:paraId="2C242081">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14,248,600.00</w:t>
            </w:r>
          </w:p>
        </w:tc>
        <w:tc>
          <w:tcPr>
            <w:tcW w:w="0" w:type="auto"/>
            <w:shd w:val="clear" w:color="auto" w:fill="FFFFFF"/>
            <w:noWrap/>
            <w:vAlign w:val="center"/>
          </w:tcPr>
          <w:p w14:paraId="25680212">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149,145,644.00</w:t>
            </w:r>
          </w:p>
        </w:tc>
        <w:tc>
          <w:tcPr>
            <w:tcW w:w="0" w:type="auto"/>
            <w:shd w:val="clear" w:color="auto" w:fill="FFFFFF"/>
            <w:noWrap/>
            <w:vAlign w:val="center"/>
          </w:tcPr>
          <w:p w14:paraId="1D3A89C4">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149,320,533.65</w:t>
            </w:r>
          </w:p>
        </w:tc>
        <w:tc>
          <w:tcPr>
            <w:tcW w:w="0" w:type="auto"/>
            <w:shd w:val="clear" w:color="auto" w:fill="FFFFFF"/>
            <w:noWrap/>
            <w:vAlign w:val="center"/>
          </w:tcPr>
          <w:p w14:paraId="637D3510">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149,145,644.00</w:t>
            </w:r>
          </w:p>
        </w:tc>
        <w:tc>
          <w:tcPr>
            <w:tcW w:w="1469" w:type="dxa"/>
            <w:shd w:val="clear" w:color="auto" w:fill="FFFFFF"/>
            <w:noWrap/>
            <w:vAlign w:val="center"/>
          </w:tcPr>
          <w:p w14:paraId="6BA1A090">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149,320,533.65</w:t>
            </w:r>
          </w:p>
        </w:tc>
      </w:tr>
      <w:tr w14:paraId="4C45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3B1F9EB4">
            <w:pPr>
              <w:pStyle w:val="12"/>
              <w:snapToGrid w:val="0"/>
              <w:ind w:left="0" w:leftChars="0" w:right="0" w:rightChars="0" w:firstLine="0" w:firstLineChars="0"/>
              <w:jc w:val="center"/>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年初财政拨款结转和结余</w:t>
            </w:r>
          </w:p>
        </w:tc>
        <w:tc>
          <w:tcPr>
            <w:tcW w:w="0" w:type="auto"/>
            <w:shd w:val="clear" w:color="auto" w:fill="FFFFFF"/>
            <w:vAlign w:val="center"/>
          </w:tcPr>
          <w:p w14:paraId="58C84BBB">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514A796A">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noWrap/>
            <w:vAlign w:val="center"/>
          </w:tcPr>
          <w:p w14:paraId="40523307">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6,757,594.88</w:t>
            </w:r>
          </w:p>
        </w:tc>
        <w:tc>
          <w:tcPr>
            <w:tcW w:w="0" w:type="auto"/>
            <w:shd w:val="clear" w:color="auto" w:fill="FFFFFF"/>
            <w:vAlign w:val="center"/>
          </w:tcPr>
          <w:p w14:paraId="4A1D6A85">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noWrap/>
            <w:vAlign w:val="center"/>
          </w:tcPr>
          <w:p w14:paraId="7EA58FDD">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6,757,594.88</w:t>
            </w:r>
          </w:p>
        </w:tc>
        <w:tc>
          <w:tcPr>
            <w:tcW w:w="1469" w:type="dxa"/>
            <w:shd w:val="clear" w:color="auto" w:fill="FFFFFF"/>
            <w:vAlign w:val="center"/>
          </w:tcPr>
          <w:p w14:paraId="7A7AD2AD">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r>
      <w:tr w14:paraId="6F0B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59433D10">
            <w:pPr>
              <w:pStyle w:val="12"/>
              <w:snapToGrid w:val="0"/>
              <w:ind w:left="0" w:leftChars="0" w:right="0" w:rightChars="0" w:firstLine="0" w:firstLineChars="0"/>
              <w:jc w:val="center"/>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年末财政拨款结转和结余</w:t>
            </w:r>
          </w:p>
        </w:tc>
        <w:tc>
          <w:tcPr>
            <w:tcW w:w="0" w:type="auto"/>
            <w:shd w:val="clear" w:color="auto" w:fill="FFFFFF"/>
            <w:vAlign w:val="center"/>
          </w:tcPr>
          <w:p w14:paraId="19752E0D">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053249A5">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vAlign w:val="center"/>
          </w:tcPr>
          <w:p w14:paraId="634816F0">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0" w:type="auto"/>
            <w:shd w:val="clear" w:color="auto" w:fill="FFFFFF"/>
            <w:noWrap/>
            <w:vAlign w:val="center"/>
          </w:tcPr>
          <w:p w14:paraId="0524CE1A">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6,582,705.23</w:t>
            </w:r>
          </w:p>
        </w:tc>
        <w:tc>
          <w:tcPr>
            <w:tcW w:w="0" w:type="auto"/>
            <w:shd w:val="clear" w:color="auto" w:fill="FFFFFF"/>
            <w:vAlign w:val="center"/>
          </w:tcPr>
          <w:p w14:paraId="4F675E56">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0</w:t>
            </w:r>
          </w:p>
        </w:tc>
        <w:tc>
          <w:tcPr>
            <w:tcW w:w="1469" w:type="dxa"/>
            <w:shd w:val="clear" w:color="auto" w:fill="FFFFFF"/>
            <w:noWrap/>
            <w:vAlign w:val="center"/>
          </w:tcPr>
          <w:p w14:paraId="0D999061">
            <w:pPr>
              <w:pStyle w:val="12"/>
              <w:snapToGrid w:val="0"/>
              <w:ind w:left="0" w:leftChars="0" w:right="0" w:rightChars="0" w:firstLine="0" w:firstLineChars="0"/>
              <w:jc w:val="right"/>
              <w:rPr>
                <w:rFonts w:hint="eastAsia" w:ascii="Times New Roman" w:hAnsi="Times New Roman" w:eastAsia="仿宋" w:cs="仿宋"/>
                <w:sz w:val="20"/>
                <w:szCs w:val="20"/>
                <w:highlight w:val="none"/>
              </w:rPr>
            </w:pPr>
            <w:r>
              <w:rPr>
                <w:rFonts w:hint="eastAsia" w:ascii="Times New Roman" w:hAnsi="Times New Roman" w:eastAsia="仿宋" w:cs="仿宋"/>
                <w:sz w:val="20"/>
                <w:szCs w:val="20"/>
                <w:highlight w:val="none"/>
                <w:lang w:val="en-US" w:eastAsia="zh-CN"/>
              </w:rPr>
              <w:t>6,582,705.23</w:t>
            </w:r>
          </w:p>
        </w:tc>
      </w:tr>
      <w:tr w14:paraId="399D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36" w:type="dxa"/>
            <w:shd w:val="clear" w:color="auto" w:fill="FFFFFF"/>
            <w:vAlign w:val="center"/>
          </w:tcPr>
          <w:p w14:paraId="48A34C3C">
            <w:pPr>
              <w:pStyle w:val="12"/>
              <w:snapToGrid w:val="0"/>
              <w:ind w:left="0" w:leftChars="0" w:right="0" w:rightChars="0" w:firstLine="0" w:firstLineChars="0"/>
              <w:jc w:val="center"/>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总计</w:t>
            </w:r>
          </w:p>
        </w:tc>
        <w:tc>
          <w:tcPr>
            <w:tcW w:w="1366" w:type="dxa"/>
            <w:shd w:val="clear" w:color="auto" w:fill="FFFFFF"/>
            <w:noWrap/>
            <w:vAlign w:val="center"/>
          </w:tcPr>
          <w:p w14:paraId="79E3614B">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14,248,600.00</w:t>
            </w:r>
          </w:p>
        </w:tc>
        <w:tc>
          <w:tcPr>
            <w:tcW w:w="1366" w:type="dxa"/>
            <w:shd w:val="clear" w:color="auto" w:fill="FFFFFF"/>
            <w:noWrap/>
            <w:vAlign w:val="center"/>
          </w:tcPr>
          <w:p w14:paraId="4E6EC07B">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14,248,600.00</w:t>
            </w:r>
          </w:p>
        </w:tc>
        <w:tc>
          <w:tcPr>
            <w:tcW w:w="1466" w:type="dxa"/>
            <w:shd w:val="clear" w:color="auto" w:fill="FFFFFF"/>
            <w:noWrap/>
            <w:vAlign w:val="center"/>
          </w:tcPr>
          <w:p w14:paraId="5FE85FE5">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155,903,238.88</w:t>
            </w:r>
          </w:p>
        </w:tc>
        <w:tc>
          <w:tcPr>
            <w:tcW w:w="1466" w:type="dxa"/>
            <w:shd w:val="clear" w:color="auto" w:fill="FFFFFF"/>
            <w:noWrap/>
            <w:vAlign w:val="center"/>
          </w:tcPr>
          <w:p w14:paraId="3BC0FA24">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155,903,238.88</w:t>
            </w:r>
          </w:p>
        </w:tc>
        <w:tc>
          <w:tcPr>
            <w:tcW w:w="1467" w:type="dxa"/>
            <w:shd w:val="clear" w:color="auto" w:fill="FFFFFF"/>
            <w:noWrap/>
            <w:vAlign w:val="center"/>
          </w:tcPr>
          <w:p w14:paraId="0B597532">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155,903,238.88</w:t>
            </w:r>
          </w:p>
        </w:tc>
        <w:tc>
          <w:tcPr>
            <w:tcW w:w="1469" w:type="dxa"/>
            <w:shd w:val="clear" w:color="auto" w:fill="FFFFFF"/>
            <w:noWrap/>
            <w:vAlign w:val="center"/>
          </w:tcPr>
          <w:p w14:paraId="1953196C">
            <w:pPr>
              <w:pStyle w:val="12"/>
              <w:snapToGrid w:val="0"/>
              <w:ind w:left="0" w:leftChars="0" w:right="0" w:rightChars="0" w:firstLine="0" w:firstLineChars="0"/>
              <w:jc w:val="right"/>
              <w:rPr>
                <w:rFonts w:hint="eastAsia" w:ascii="Times New Roman" w:hAnsi="Times New Roman" w:eastAsia="仿宋" w:cs="仿宋"/>
                <w:b/>
                <w:sz w:val="20"/>
                <w:szCs w:val="20"/>
                <w:highlight w:val="none"/>
              </w:rPr>
            </w:pPr>
            <w:r>
              <w:rPr>
                <w:rFonts w:hint="eastAsia" w:ascii="Times New Roman" w:hAnsi="Times New Roman" w:eastAsia="仿宋" w:cs="仿宋"/>
                <w:b/>
                <w:sz w:val="20"/>
                <w:szCs w:val="20"/>
                <w:highlight w:val="none"/>
                <w:lang w:val="en-US" w:eastAsia="zh-CN"/>
              </w:rPr>
              <w:t>155,903,238.88</w:t>
            </w:r>
          </w:p>
        </w:tc>
      </w:tr>
    </w:tbl>
    <w:p w14:paraId="31103850">
      <w:pPr>
        <w:shd w:val="clear"/>
        <w:spacing w:line="560" w:lineRule="exact"/>
        <w:ind w:firstLine="643" w:firstLineChars="200"/>
        <w:outlineLvl w:val="1"/>
        <w:rPr>
          <w:rFonts w:hint="eastAsia" w:ascii="Times New Roman" w:hAnsi="Times New Roman" w:eastAsia="楷体" w:cs="楷体"/>
          <w:b/>
          <w:bCs/>
          <w:sz w:val="32"/>
          <w:szCs w:val="32"/>
          <w:highlight w:val="none"/>
          <w:lang w:eastAsia="zh-CN"/>
        </w:rPr>
      </w:pPr>
    </w:p>
    <w:p w14:paraId="3CE0D467">
      <w:pPr>
        <w:shd w:val="clear"/>
        <w:spacing w:line="560" w:lineRule="exact"/>
        <w:ind w:firstLine="643" w:firstLineChars="200"/>
        <w:outlineLvl w:val="1"/>
        <w:rPr>
          <w:rFonts w:hint="default" w:ascii="Times New Roman" w:hAnsi="Times New Roman" w:eastAsia="楷体" w:cs="楷体"/>
          <w:b/>
          <w:bCs/>
          <w:sz w:val="32"/>
          <w:szCs w:val="32"/>
          <w:highlight w:val="none"/>
          <w:lang w:val="en-US" w:eastAsia="zh-CN"/>
        </w:rPr>
      </w:pP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二</w:t>
      </w: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绩效评价结论</w:t>
      </w:r>
    </w:p>
    <w:p w14:paraId="5808576C">
      <w:pPr>
        <w:pStyle w:val="8"/>
        <w:widowControl/>
        <w:shd w:val="clear" w:color="auto"/>
        <w:spacing w:before="0" w:beforeAutospacing="0" w:after="0" w:afterAutospacing="0" w:line="560" w:lineRule="exact"/>
        <w:ind w:firstLine="640" w:firstLineChars="200"/>
        <w:rPr>
          <w:rFonts w:hint="eastAsia" w:ascii="Times New Roman" w:hAnsi="Times New Roman" w:eastAsia="仿宋" w:cs="仿宋"/>
          <w:sz w:val="32"/>
          <w:szCs w:val="32"/>
          <w:highlight w:val="none"/>
        </w:rPr>
      </w:pPr>
      <w:r>
        <w:rPr>
          <w:rFonts w:hint="eastAsia" w:ascii="Times New Roman" w:hAnsi="Times New Roman" w:eastAsia="仿宋" w:cs="仿宋"/>
          <w:sz w:val="32"/>
          <w:szCs w:val="32"/>
          <w:highlight w:val="none"/>
        </w:rPr>
        <w:t>经综合评价，2025年度南京市</w:t>
      </w:r>
      <w:r>
        <w:rPr>
          <w:rFonts w:hint="eastAsia" w:ascii="Times New Roman" w:hAnsi="Times New Roman" w:eastAsia="仿宋" w:cs="仿宋"/>
          <w:sz w:val="32"/>
          <w:szCs w:val="32"/>
          <w:highlight w:val="none"/>
          <w:lang w:val="en-US" w:eastAsia="zh-CN"/>
        </w:rPr>
        <w:t>中心医院</w:t>
      </w:r>
      <w:r>
        <w:rPr>
          <w:rFonts w:hint="eastAsia" w:ascii="Times New Roman" w:hAnsi="Times New Roman" w:eastAsia="仿宋" w:cs="仿宋"/>
          <w:sz w:val="32"/>
          <w:szCs w:val="32"/>
          <w:highlight w:val="none"/>
        </w:rPr>
        <w:t>整体绩效评价得分</w:t>
      </w:r>
      <w:r>
        <w:rPr>
          <w:rFonts w:hint="eastAsia" w:ascii="Times New Roman" w:hAnsi="Times New Roman" w:eastAsia="仿宋" w:cs="仿宋"/>
          <w:sz w:val="32"/>
          <w:szCs w:val="32"/>
          <w:highlight w:val="none"/>
          <w:lang w:val="en-US" w:eastAsia="zh-CN"/>
        </w:rPr>
        <w:t>95.20</w:t>
      </w:r>
      <w:r>
        <w:rPr>
          <w:rFonts w:hint="eastAsia" w:ascii="Times New Roman" w:hAnsi="Times New Roman" w:eastAsia="仿宋" w:cs="仿宋"/>
          <w:sz w:val="32"/>
          <w:szCs w:val="32"/>
          <w:highlight w:val="none"/>
        </w:rPr>
        <w:t>分，等级为“</w:t>
      </w:r>
      <w:r>
        <w:rPr>
          <w:rFonts w:hint="eastAsia" w:ascii="Times New Roman" w:hAnsi="Times New Roman" w:eastAsia="仿宋" w:cs="仿宋"/>
          <w:sz w:val="32"/>
          <w:szCs w:val="32"/>
          <w:highlight w:val="none"/>
          <w:lang w:val="en-US" w:eastAsia="zh-CN"/>
        </w:rPr>
        <w:t>优</w:t>
      </w:r>
      <w:r>
        <w:rPr>
          <w:rFonts w:hint="eastAsia" w:ascii="Times New Roman" w:hAnsi="Times New Roman" w:eastAsia="仿宋" w:cs="仿宋"/>
          <w:sz w:val="32"/>
          <w:szCs w:val="32"/>
          <w:highlight w:val="none"/>
        </w:rPr>
        <w:t>”。整体而言，2025年度南京市</w:t>
      </w:r>
      <w:r>
        <w:rPr>
          <w:rFonts w:hint="eastAsia" w:ascii="Times New Roman" w:hAnsi="Times New Roman" w:eastAsia="仿宋" w:cs="仿宋"/>
          <w:sz w:val="32"/>
          <w:szCs w:val="32"/>
          <w:highlight w:val="none"/>
          <w:lang w:val="en-US" w:eastAsia="zh-CN"/>
        </w:rPr>
        <w:t>中心医院事业收入3.95亿元，同比增长2%；</w:t>
      </w:r>
      <w:r>
        <w:rPr>
          <w:rFonts w:hint="eastAsia" w:ascii="Times New Roman" w:hAnsi="Times New Roman" w:eastAsia="仿宋" w:cs="仿宋"/>
          <w:sz w:val="32"/>
          <w:szCs w:val="32"/>
          <w:highlight w:val="none"/>
        </w:rPr>
        <w:t>医疗服务收入增长9.2%，药占比降至37.4%；通过谈判节约成本214万元，耗材及运营支出显著下降，CMI值高于同级14.13%，</w:t>
      </w:r>
      <w:r>
        <w:rPr>
          <w:rFonts w:hint="eastAsia" w:ascii="Times New Roman" w:hAnsi="Times New Roman" w:eastAsia="仿宋" w:cs="仿宋"/>
          <w:sz w:val="32"/>
          <w:szCs w:val="32"/>
          <w:highlight w:val="none"/>
          <w:lang w:val="en-US" w:eastAsia="zh-CN"/>
        </w:rPr>
        <w:t>各级各类</w:t>
      </w:r>
      <w:r>
        <w:rPr>
          <w:rFonts w:hint="eastAsia" w:ascii="Times New Roman" w:hAnsi="Times New Roman" w:eastAsia="仿宋" w:cs="仿宋"/>
          <w:sz w:val="32"/>
          <w:szCs w:val="32"/>
          <w:highlight w:val="none"/>
        </w:rPr>
        <w:t>手术量增长12.43%，双向转诊1820人次，学科与载体建设实现突破，资金绩效目标高效完成。但也存在</w:t>
      </w:r>
      <w:r>
        <w:rPr>
          <w:rFonts w:hint="eastAsia" w:ascii="Times New Roman" w:hAnsi="Times New Roman" w:eastAsia="仿宋" w:cs="仿宋"/>
          <w:sz w:val="32"/>
          <w:szCs w:val="32"/>
          <w:highlight w:val="none"/>
          <w:lang w:val="en-US" w:eastAsia="zh-CN"/>
        </w:rPr>
        <w:t>预算管理有待加强、绩效管理水平有待进一步提高、部门履职效能仍有优化空间的问题</w:t>
      </w:r>
      <w:r>
        <w:rPr>
          <w:rFonts w:hint="eastAsia" w:ascii="Times New Roman" w:hAnsi="Times New Roman" w:eastAsia="仿宋" w:cs="仿宋"/>
          <w:sz w:val="32"/>
          <w:szCs w:val="32"/>
          <w:highlight w:val="none"/>
        </w:rPr>
        <w:t>，拟进一步</w:t>
      </w:r>
      <w:r>
        <w:rPr>
          <w:rFonts w:hint="eastAsia" w:ascii="Times New Roman" w:hAnsi="Times New Roman" w:eastAsia="仿宋" w:cs="仿宋"/>
          <w:sz w:val="32"/>
          <w:szCs w:val="32"/>
          <w:highlight w:val="none"/>
          <w:lang w:val="en-US" w:eastAsia="zh-CN"/>
        </w:rPr>
        <w:t>细化工作计划并严控预算调整、提升绩效目标编制与全过程管理水平</w:t>
      </w:r>
      <w:r>
        <w:rPr>
          <w:rFonts w:hint="eastAsia" w:ascii="Times New Roman" w:hAnsi="Times New Roman" w:eastAsia="仿宋" w:cs="仿宋"/>
          <w:sz w:val="32"/>
          <w:szCs w:val="32"/>
          <w:highlight w:val="none"/>
          <w:lang w:eastAsia="zh-CN"/>
        </w:rPr>
        <w:t>、</w:t>
      </w:r>
      <w:r>
        <w:rPr>
          <w:rFonts w:hint="eastAsia" w:ascii="Times New Roman" w:hAnsi="Times New Roman" w:eastAsia="仿宋" w:cs="仿宋"/>
          <w:sz w:val="32"/>
          <w:szCs w:val="32"/>
          <w:highlight w:val="none"/>
          <w:lang w:val="en-US" w:eastAsia="zh-CN"/>
        </w:rPr>
        <w:t>优化收入结构与资源效能，降低药耗占比。</w:t>
      </w:r>
    </w:p>
    <w:p w14:paraId="0C8EBF5B">
      <w:pPr>
        <w:pStyle w:val="2"/>
        <w:shd w:val="clear"/>
        <w:spacing w:before="0" w:after="0" w:line="560" w:lineRule="exact"/>
        <w:ind w:firstLine="640" w:firstLineChars="200"/>
        <w:rPr>
          <w:rFonts w:ascii="Times New Roman" w:hAnsi="Times New Roman" w:eastAsia="黑体" w:cs="Times New Roman"/>
          <w:b w:val="0"/>
          <w:bCs w:val="0"/>
          <w:kern w:val="2"/>
          <w:sz w:val="32"/>
          <w:szCs w:val="32"/>
          <w:highlight w:val="none"/>
        </w:rPr>
      </w:pPr>
      <w:r>
        <w:rPr>
          <w:rFonts w:ascii="Times New Roman" w:hAnsi="Times New Roman" w:eastAsia="黑体" w:cs="Times New Roman"/>
          <w:b w:val="0"/>
          <w:bCs w:val="0"/>
          <w:kern w:val="2"/>
          <w:sz w:val="32"/>
          <w:szCs w:val="32"/>
          <w:highlight w:val="none"/>
        </w:rPr>
        <w:t>三、单位履职成效</w:t>
      </w:r>
    </w:p>
    <w:p w14:paraId="4B97B6B8">
      <w:pPr>
        <w:shd w:val="clear"/>
        <w:spacing w:line="560" w:lineRule="exact"/>
        <w:ind w:firstLine="643" w:firstLineChars="200"/>
        <w:outlineLvl w:val="1"/>
        <w:rPr>
          <w:rFonts w:hint="eastAsia" w:ascii="Times New Roman" w:hAnsi="Times New Roman" w:eastAsia="楷体" w:cs="楷体"/>
          <w:b/>
          <w:bCs/>
          <w:sz w:val="32"/>
          <w:szCs w:val="32"/>
          <w:highlight w:val="none"/>
          <w:lang w:eastAsia="zh-CN"/>
        </w:rPr>
      </w:pP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一</w:t>
      </w:r>
      <w:r>
        <w:rPr>
          <w:rFonts w:hint="eastAsia" w:ascii="Times New Roman" w:hAnsi="Times New Roman" w:eastAsia="楷体" w:cs="楷体"/>
          <w:b/>
          <w:bCs/>
          <w:sz w:val="32"/>
          <w:szCs w:val="32"/>
          <w:highlight w:val="none"/>
          <w:lang w:eastAsia="zh-CN"/>
        </w:rPr>
        <w:t>）经济运行稳中有进，核心效益指标超额达成</w:t>
      </w:r>
    </w:p>
    <w:p w14:paraId="11D78285">
      <w:pPr>
        <w:shd w:val="clear"/>
        <w:spacing w:line="560" w:lineRule="exact"/>
        <w:ind w:firstLine="643" w:firstLineChars="200"/>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lang w:val="en-US" w:eastAsia="zh-CN"/>
        </w:rPr>
        <w:t>一是</w:t>
      </w:r>
      <w:r>
        <w:rPr>
          <w:rFonts w:hint="eastAsia" w:ascii="Times New Roman" w:hAnsi="Times New Roman" w:eastAsia="仿宋" w:cs="仿宋"/>
          <w:color w:val="000000"/>
          <w:sz w:val="32"/>
          <w:szCs w:val="32"/>
          <w:highlight w:val="none"/>
        </w:rPr>
        <w:t>收入规模持续增长：全年医院</w:t>
      </w:r>
      <w:r>
        <w:rPr>
          <w:rFonts w:hint="eastAsia" w:ascii="Times New Roman" w:hAnsi="Times New Roman" w:eastAsia="仿宋" w:cs="仿宋"/>
          <w:color w:val="000000"/>
          <w:sz w:val="32"/>
          <w:szCs w:val="32"/>
          <w:highlight w:val="none"/>
          <w:lang w:eastAsia="zh-CN"/>
        </w:rPr>
        <w:t>事业收入</w:t>
      </w:r>
      <w:r>
        <w:rPr>
          <w:rFonts w:hint="eastAsia" w:ascii="Times New Roman" w:hAnsi="Times New Roman" w:eastAsia="仿宋" w:cs="仿宋"/>
          <w:color w:val="000000"/>
          <w:sz w:val="32"/>
          <w:szCs w:val="32"/>
          <w:highlight w:val="none"/>
        </w:rPr>
        <w:t>3.95亿元，同比增长2%；医养中心收入同比增长48.9%</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医疗服务收入同比增长9.2%，各项收入均实现正向增长，反映医疗服务创收能力稳步提升。</w:t>
      </w:r>
      <w:r>
        <w:rPr>
          <w:rFonts w:hint="eastAsia" w:ascii="Times New Roman" w:hAnsi="Times New Roman" w:eastAsia="仿宋" w:cs="仿宋"/>
          <w:b/>
          <w:bCs/>
          <w:color w:val="000000"/>
          <w:sz w:val="32"/>
          <w:szCs w:val="32"/>
          <w:highlight w:val="none"/>
          <w:lang w:val="en-US" w:eastAsia="zh-CN"/>
        </w:rPr>
        <w:t>二是</w:t>
      </w:r>
      <w:r>
        <w:rPr>
          <w:rFonts w:hint="eastAsia" w:ascii="Times New Roman" w:hAnsi="Times New Roman" w:eastAsia="仿宋" w:cs="仿宋"/>
          <w:color w:val="000000"/>
          <w:sz w:val="32"/>
          <w:szCs w:val="32"/>
          <w:highlight w:val="none"/>
        </w:rPr>
        <w:t>收入结构优化：药占比降至37.4%，同比下降2个百分点，符合药品费用控制绩效目标；医疗服务收入增速（9.2%）显著高于</w:t>
      </w:r>
      <w:r>
        <w:rPr>
          <w:rFonts w:hint="eastAsia" w:ascii="Times New Roman" w:hAnsi="Times New Roman" w:eastAsia="仿宋" w:cs="仿宋"/>
          <w:color w:val="000000"/>
          <w:sz w:val="32"/>
          <w:szCs w:val="32"/>
          <w:highlight w:val="none"/>
          <w:lang w:eastAsia="zh-CN"/>
        </w:rPr>
        <w:t>事业收入</w:t>
      </w:r>
      <w:r>
        <w:rPr>
          <w:rFonts w:hint="eastAsia" w:ascii="Times New Roman" w:hAnsi="Times New Roman" w:eastAsia="仿宋" w:cs="仿宋"/>
          <w:color w:val="000000"/>
          <w:sz w:val="32"/>
          <w:szCs w:val="32"/>
          <w:highlight w:val="none"/>
        </w:rPr>
        <w:t>增速（2%），体现收入结构向技术劳务价值倾斜的良性调整。</w:t>
      </w:r>
      <w:r>
        <w:rPr>
          <w:rFonts w:hint="eastAsia" w:ascii="Times New Roman" w:hAnsi="Times New Roman" w:eastAsia="仿宋" w:cs="仿宋"/>
          <w:b/>
          <w:bCs/>
          <w:color w:val="000000"/>
          <w:sz w:val="32"/>
          <w:szCs w:val="32"/>
          <w:highlight w:val="none"/>
          <w:lang w:val="en-US" w:eastAsia="zh-CN"/>
        </w:rPr>
        <w:t>三是</w:t>
      </w:r>
      <w:r>
        <w:rPr>
          <w:rFonts w:hint="eastAsia" w:ascii="Times New Roman" w:hAnsi="Times New Roman" w:eastAsia="仿宋" w:cs="仿宋"/>
          <w:color w:val="000000"/>
          <w:sz w:val="32"/>
          <w:szCs w:val="32"/>
          <w:highlight w:val="none"/>
        </w:rPr>
        <w:t>日均创收能力增强：开放床位增至374张，日均收入约170万元，较往年明显提高，床位使用率超90%，资产利用效率处于高位。</w:t>
      </w:r>
    </w:p>
    <w:p w14:paraId="3CF39567">
      <w:pPr>
        <w:shd w:val="clear"/>
        <w:spacing w:line="560" w:lineRule="exact"/>
        <w:ind w:firstLine="640" w:firstLineChars="200"/>
        <w:rPr>
          <w:rFonts w:hint="eastAsia" w:ascii="Times New Roman" w:hAnsi="Times New Roman" w:eastAsia="仿宋" w:cs="仿宋"/>
          <w:color w:val="000000"/>
          <w:sz w:val="32"/>
          <w:szCs w:val="32"/>
          <w:highlight w:val="none"/>
        </w:rPr>
      </w:pPr>
    </w:p>
    <w:p w14:paraId="53DC5BFE">
      <w:pPr>
        <w:shd w:val="clear"/>
        <w:spacing w:line="560" w:lineRule="exact"/>
        <w:ind w:firstLine="643" w:firstLineChars="200"/>
        <w:outlineLvl w:val="1"/>
        <w:rPr>
          <w:rFonts w:hint="eastAsia" w:ascii="Times New Roman" w:hAnsi="Times New Roman" w:eastAsia="楷体" w:cs="楷体"/>
          <w:b/>
          <w:bCs/>
          <w:sz w:val="32"/>
          <w:szCs w:val="32"/>
          <w:highlight w:val="none"/>
          <w:lang w:eastAsia="zh-CN"/>
        </w:rPr>
      </w:pP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二</w:t>
      </w:r>
      <w:r>
        <w:rPr>
          <w:rFonts w:hint="eastAsia" w:ascii="Times New Roman" w:hAnsi="Times New Roman" w:eastAsia="楷体" w:cs="楷体"/>
          <w:b/>
          <w:bCs/>
          <w:sz w:val="32"/>
          <w:szCs w:val="32"/>
          <w:highlight w:val="none"/>
          <w:lang w:eastAsia="zh-CN"/>
        </w:rPr>
        <w:t>）成本控制与采购议价成效显著，质量效益同步提升</w:t>
      </w:r>
    </w:p>
    <w:p w14:paraId="4AF80A1D">
      <w:pPr>
        <w:shd w:val="clear"/>
        <w:spacing w:line="560" w:lineRule="exact"/>
        <w:ind w:firstLine="643" w:firstLineChars="200"/>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lang w:val="en-US" w:eastAsia="zh-CN"/>
        </w:rPr>
        <w:t>一是</w:t>
      </w:r>
      <w:r>
        <w:rPr>
          <w:rFonts w:hint="eastAsia" w:ascii="Times New Roman" w:hAnsi="Times New Roman" w:eastAsia="仿宋" w:cs="仿宋"/>
          <w:color w:val="000000"/>
          <w:sz w:val="32"/>
          <w:szCs w:val="32"/>
          <w:highlight w:val="none"/>
        </w:rPr>
        <w:t>采购谈判降本：通过集中谈判节约采购成本214万元，直接提升资金使用效益。</w:t>
      </w:r>
      <w:r>
        <w:rPr>
          <w:rFonts w:hint="eastAsia" w:ascii="Times New Roman" w:hAnsi="Times New Roman" w:eastAsia="仿宋" w:cs="仿宋"/>
          <w:b/>
          <w:bCs/>
          <w:color w:val="000000"/>
          <w:sz w:val="32"/>
          <w:szCs w:val="32"/>
          <w:highlight w:val="none"/>
          <w:lang w:val="en-US" w:eastAsia="zh-CN"/>
        </w:rPr>
        <w:t>二是</w:t>
      </w:r>
      <w:r>
        <w:rPr>
          <w:rFonts w:hint="eastAsia" w:ascii="Times New Roman" w:hAnsi="Times New Roman" w:eastAsia="仿宋" w:cs="仿宋"/>
          <w:color w:val="000000"/>
          <w:sz w:val="32"/>
          <w:szCs w:val="32"/>
          <w:highlight w:val="none"/>
        </w:rPr>
        <w:t>耗材与运营支出双降：在手术量增长10.4%的</w:t>
      </w:r>
      <w:r>
        <w:rPr>
          <w:rFonts w:hint="eastAsia" w:ascii="Times New Roman" w:hAnsi="Times New Roman" w:eastAsia="仿宋" w:cs="仿宋"/>
          <w:color w:val="000000"/>
          <w:sz w:val="32"/>
          <w:szCs w:val="32"/>
          <w:highlight w:val="none"/>
          <w:lang w:val="en-US" w:eastAsia="zh-CN"/>
        </w:rPr>
        <w:t>同时</w:t>
      </w:r>
      <w:r>
        <w:rPr>
          <w:rFonts w:hint="eastAsia" w:ascii="Times New Roman" w:hAnsi="Times New Roman" w:eastAsia="仿宋" w:cs="仿宋"/>
          <w:color w:val="000000"/>
          <w:sz w:val="32"/>
          <w:szCs w:val="32"/>
          <w:highlight w:val="none"/>
        </w:rPr>
        <w:t>，耗材占比同比下降0.14%；低值耗材支出降低35%，物业服务支出降低17.6%，实现业务扩张与成本控制的平衡。</w:t>
      </w:r>
      <w:r>
        <w:rPr>
          <w:rFonts w:hint="eastAsia" w:ascii="Times New Roman" w:hAnsi="Times New Roman" w:eastAsia="仿宋" w:cs="仿宋"/>
          <w:b/>
          <w:bCs/>
          <w:color w:val="000000"/>
          <w:sz w:val="32"/>
          <w:szCs w:val="32"/>
          <w:highlight w:val="none"/>
          <w:lang w:val="en-US" w:eastAsia="zh-CN"/>
        </w:rPr>
        <w:t>三是</w:t>
      </w:r>
      <w:r>
        <w:rPr>
          <w:rFonts w:hint="eastAsia" w:ascii="Times New Roman" w:hAnsi="Times New Roman" w:eastAsia="仿宋" w:cs="仿宋"/>
          <w:color w:val="000000"/>
          <w:sz w:val="32"/>
          <w:szCs w:val="32"/>
          <w:highlight w:val="none"/>
        </w:rPr>
        <w:t>医保DRG结算高效：医保DRG结算率达106.87%，高于100%的目标值，表明医保资金回笼良好，病种成本管理精准。</w:t>
      </w:r>
      <w:r>
        <w:rPr>
          <w:rFonts w:hint="eastAsia" w:ascii="Times New Roman" w:hAnsi="Times New Roman" w:eastAsia="仿宋" w:cs="仿宋"/>
          <w:b/>
          <w:bCs/>
          <w:color w:val="000000"/>
          <w:sz w:val="32"/>
          <w:szCs w:val="32"/>
          <w:highlight w:val="none"/>
          <w:lang w:val="en-US" w:eastAsia="zh-CN"/>
        </w:rPr>
        <w:t>四是</w:t>
      </w:r>
      <w:r>
        <w:rPr>
          <w:rFonts w:hint="eastAsia" w:ascii="Times New Roman" w:hAnsi="Times New Roman" w:eastAsia="仿宋" w:cs="仿宋"/>
          <w:color w:val="000000"/>
          <w:sz w:val="32"/>
          <w:szCs w:val="32"/>
          <w:highlight w:val="none"/>
        </w:rPr>
        <w:t>CMI值领先：医院CMI值达1.05，高于同级医院平均水平14.13%，体现收治疾病疑难程度和技术难度优势，为绩效分配和医保支付争取有利条件。</w:t>
      </w:r>
    </w:p>
    <w:p w14:paraId="26F6B32B">
      <w:pPr>
        <w:shd w:val="clear"/>
        <w:spacing w:line="560" w:lineRule="exact"/>
        <w:ind w:firstLine="643" w:firstLineChars="200"/>
        <w:outlineLvl w:val="1"/>
        <w:rPr>
          <w:rFonts w:hint="eastAsia" w:ascii="Times New Roman" w:hAnsi="Times New Roman" w:eastAsia="楷体" w:cs="楷体"/>
          <w:b/>
          <w:bCs/>
          <w:sz w:val="32"/>
          <w:szCs w:val="32"/>
          <w:highlight w:val="none"/>
          <w:lang w:eastAsia="zh-CN"/>
        </w:rPr>
      </w:pP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三</w:t>
      </w:r>
      <w:r>
        <w:rPr>
          <w:rFonts w:hint="eastAsia" w:ascii="Times New Roman" w:hAnsi="Times New Roman" w:eastAsia="楷体" w:cs="楷体"/>
          <w:b/>
          <w:bCs/>
          <w:sz w:val="32"/>
          <w:szCs w:val="32"/>
          <w:highlight w:val="none"/>
          <w:lang w:eastAsia="zh-CN"/>
        </w:rPr>
        <w:t>）学科技术与服务创新驱动，重点绩效指标表现突出</w:t>
      </w:r>
    </w:p>
    <w:p w14:paraId="461A9BD8">
      <w:pPr>
        <w:shd w:val="clear"/>
        <w:spacing w:line="560" w:lineRule="exact"/>
        <w:ind w:firstLine="643" w:firstLineChars="200"/>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lang w:val="en-US" w:eastAsia="zh-CN"/>
        </w:rPr>
        <w:t>一是</w:t>
      </w:r>
      <w:r>
        <w:rPr>
          <w:rFonts w:hint="eastAsia" w:ascii="Times New Roman" w:hAnsi="Times New Roman" w:eastAsia="仿宋" w:cs="仿宋"/>
          <w:color w:val="000000"/>
          <w:sz w:val="32"/>
          <w:szCs w:val="32"/>
          <w:highlight w:val="none"/>
        </w:rPr>
        <w:t>手术量与新技术跨越式增长：各级各类手术3455台次，同比增长12.43%；其中疝病手术量增长15%，手术机器人完成20余例，开展医疗新技术10余项，带动技术性收入提升。</w:t>
      </w:r>
      <w:r>
        <w:rPr>
          <w:rFonts w:hint="eastAsia" w:ascii="Times New Roman" w:hAnsi="Times New Roman" w:eastAsia="仿宋" w:cs="仿宋"/>
          <w:b/>
          <w:bCs/>
          <w:color w:val="000000"/>
          <w:sz w:val="32"/>
          <w:szCs w:val="32"/>
          <w:highlight w:val="none"/>
          <w:lang w:val="en-US" w:eastAsia="zh-CN"/>
        </w:rPr>
        <w:t>二是</w:t>
      </w:r>
      <w:r>
        <w:rPr>
          <w:rFonts w:hint="eastAsia" w:ascii="Times New Roman" w:hAnsi="Times New Roman" w:eastAsia="仿宋" w:cs="仿宋"/>
          <w:color w:val="000000"/>
          <w:sz w:val="32"/>
          <w:szCs w:val="32"/>
          <w:highlight w:val="none"/>
        </w:rPr>
        <w:t>中医适宜技术与免陪服务试点：推广中医适宜技术，试点免陪照护服务254人次，拓展了医疗服务项目，丰富了收费来源。</w:t>
      </w:r>
      <w:r>
        <w:rPr>
          <w:rFonts w:hint="eastAsia" w:ascii="Times New Roman" w:hAnsi="Times New Roman" w:eastAsia="仿宋" w:cs="仿宋"/>
          <w:b/>
          <w:bCs/>
          <w:color w:val="000000"/>
          <w:sz w:val="32"/>
          <w:szCs w:val="32"/>
          <w:highlight w:val="none"/>
          <w:lang w:val="en-US" w:eastAsia="zh-CN"/>
        </w:rPr>
        <w:t>三是</w:t>
      </w:r>
      <w:r>
        <w:rPr>
          <w:rFonts w:hint="eastAsia" w:ascii="Times New Roman" w:hAnsi="Times New Roman" w:eastAsia="仿宋" w:cs="仿宋"/>
          <w:color w:val="000000"/>
          <w:sz w:val="32"/>
          <w:szCs w:val="32"/>
          <w:highlight w:val="none"/>
        </w:rPr>
        <w:t>科研与专科认证成果：立项课题12项，通过高血压达标中心再认证，获评国家老年营养示范病房，实现静脉溶栓</w:t>
      </w:r>
      <w:r>
        <w:rPr>
          <w:rFonts w:hint="eastAsia" w:ascii="Times New Roman" w:hAnsi="Times New Roman" w:eastAsia="仿宋" w:cs="仿宋"/>
          <w:color w:val="000000"/>
          <w:sz w:val="32"/>
          <w:szCs w:val="32"/>
          <w:highlight w:val="none"/>
          <w:lang w:eastAsia="zh-CN"/>
        </w:rPr>
        <w:t>“零的突破”</w:t>
      </w:r>
      <w:r>
        <w:rPr>
          <w:rFonts w:hint="eastAsia" w:ascii="Times New Roman" w:hAnsi="Times New Roman" w:eastAsia="仿宋" w:cs="仿宋"/>
          <w:color w:val="000000"/>
          <w:sz w:val="32"/>
          <w:szCs w:val="32"/>
          <w:highlight w:val="none"/>
        </w:rPr>
        <w:t>，医学影像科入围省级重点专科现场评审——这些成果直接关联学科建设与科研绩效目标的实现。</w:t>
      </w:r>
    </w:p>
    <w:p w14:paraId="7B4808EB">
      <w:pPr>
        <w:shd w:val="clear"/>
        <w:spacing w:line="560" w:lineRule="exact"/>
        <w:ind w:firstLine="640" w:firstLineChars="200"/>
        <w:rPr>
          <w:rFonts w:hint="eastAsia" w:ascii="Times New Roman" w:hAnsi="Times New Roman" w:eastAsia="仿宋" w:cs="仿宋"/>
          <w:color w:val="000000"/>
          <w:sz w:val="32"/>
          <w:szCs w:val="32"/>
          <w:highlight w:val="none"/>
        </w:rPr>
      </w:pPr>
    </w:p>
    <w:p w14:paraId="7606EBE4">
      <w:pPr>
        <w:shd w:val="clear"/>
        <w:spacing w:line="560" w:lineRule="exact"/>
        <w:ind w:firstLine="640" w:firstLineChars="200"/>
        <w:rPr>
          <w:rFonts w:hint="eastAsia" w:ascii="Times New Roman" w:hAnsi="Times New Roman" w:eastAsia="仿宋" w:cs="仿宋"/>
          <w:color w:val="000000"/>
          <w:sz w:val="32"/>
          <w:szCs w:val="32"/>
          <w:highlight w:val="none"/>
        </w:rPr>
      </w:pPr>
    </w:p>
    <w:p w14:paraId="123AF404">
      <w:pPr>
        <w:shd w:val="clear"/>
        <w:spacing w:line="560" w:lineRule="exact"/>
        <w:ind w:firstLine="643" w:firstLineChars="200"/>
        <w:outlineLvl w:val="1"/>
        <w:rPr>
          <w:rFonts w:hint="eastAsia" w:ascii="Times New Roman" w:hAnsi="Times New Roman" w:eastAsia="楷体" w:cs="楷体"/>
          <w:b/>
          <w:bCs/>
          <w:sz w:val="32"/>
          <w:szCs w:val="32"/>
          <w:highlight w:val="none"/>
          <w:lang w:eastAsia="zh-CN"/>
        </w:rPr>
      </w:pPr>
      <w:r>
        <w:rPr>
          <w:rFonts w:hint="eastAsia" w:ascii="Times New Roman" w:hAnsi="Times New Roman" w:eastAsia="楷体" w:cs="楷体"/>
          <w:b/>
          <w:bCs/>
          <w:sz w:val="32"/>
          <w:szCs w:val="32"/>
          <w:highlight w:val="none"/>
          <w:lang w:eastAsia="zh-CN"/>
        </w:rPr>
        <w:t>（</w:t>
      </w:r>
      <w:r>
        <w:rPr>
          <w:rFonts w:hint="eastAsia" w:ascii="Times New Roman" w:hAnsi="Times New Roman" w:eastAsia="楷体" w:cs="楷体"/>
          <w:b/>
          <w:bCs/>
          <w:sz w:val="32"/>
          <w:szCs w:val="32"/>
          <w:highlight w:val="none"/>
          <w:lang w:val="en-US" w:eastAsia="zh-CN"/>
        </w:rPr>
        <w:t>四</w:t>
      </w:r>
      <w:r>
        <w:rPr>
          <w:rFonts w:hint="eastAsia" w:ascii="Times New Roman" w:hAnsi="Times New Roman" w:eastAsia="楷体" w:cs="楷体"/>
          <w:b/>
          <w:bCs/>
          <w:sz w:val="32"/>
          <w:szCs w:val="32"/>
          <w:highlight w:val="none"/>
          <w:lang w:eastAsia="zh-CN"/>
        </w:rPr>
        <w:t>）对外协作与区域辐射效能增强，资源整合贡献绩效增量</w:t>
      </w:r>
    </w:p>
    <w:p w14:paraId="17FD02E4">
      <w:pPr>
        <w:shd w:val="clear"/>
        <w:spacing w:line="560" w:lineRule="exact"/>
        <w:ind w:firstLine="643" w:firstLineChars="200"/>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lang w:val="en-US" w:eastAsia="zh-CN"/>
        </w:rPr>
        <w:t>一是</w:t>
      </w:r>
      <w:r>
        <w:rPr>
          <w:rFonts w:hint="eastAsia" w:ascii="Times New Roman" w:hAnsi="Times New Roman" w:eastAsia="仿宋" w:cs="仿宋"/>
          <w:color w:val="000000"/>
          <w:sz w:val="32"/>
          <w:szCs w:val="32"/>
          <w:highlight w:val="none"/>
        </w:rPr>
        <w:t>医联体协作带动业务量：加入省人民医院医联体共建高血压防治研究中心，与市中医院共建联合中医诊疗中心，与南京中医药大学启动药膳开发，引入优质资源促进专科能力提升，间接拉动医疗服务收入。</w:t>
      </w:r>
      <w:r>
        <w:rPr>
          <w:rFonts w:hint="eastAsia" w:ascii="Times New Roman" w:hAnsi="Times New Roman" w:eastAsia="仿宋" w:cs="仿宋"/>
          <w:b/>
          <w:bCs/>
          <w:color w:val="000000"/>
          <w:sz w:val="32"/>
          <w:szCs w:val="32"/>
          <w:highlight w:val="none"/>
          <w:lang w:val="en-US" w:eastAsia="zh-CN"/>
        </w:rPr>
        <w:t>二是</w:t>
      </w:r>
      <w:r>
        <w:rPr>
          <w:rFonts w:hint="eastAsia" w:ascii="Times New Roman" w:hAnsi="Times New Roman" w:eastAsia="仿宋" w:cs="仿宋"/>
          <w:color w:val="000000"/>
          <w:sz w:val="32"/>
          <w:szCs w:val="32"/>
          <w:highlight w:val="none"/>
        </w:rPr>
        <w:t>智慧转诊与双向转诊实效：与12家社区医院、20家医养机构建立智慧转诊通道，全年双向转诊1820人次，有效扩大服务半径，为稳定病源和床位使用率提供支撑。</w:t>
      </w:r>
      <w:r>
        <w:rPr>
          <w:rFonts w:hint="eastAsia" w:ascii="Times New Roman" w:hAnsi="Times New Roman" w:eastAsia="仿宋" w:cs="仿宋"/>
          <w:b/>
          <w:bCs/>
          <w:color w:val="000000"/>
          <w:sz w:val="32"/>
          <w:szCs w:val="32"/>
          <w:highlight w:val="none"/>
          <w:lang w:val="en-US" w:eastAsia="zh-CN"/>
        </w:rPr>
        <w:t>三是</w:t>
      </w:r>
      <w:r>
        <w:rPr>
          <w:rFonts w:hint="eastAsia" w:ascii="Times New Roman" w:hAnsi="Times New Roman" w:eastAsia="仿宋" w:cs="仿宋"/>
          <w:color w:val="000000"/>
          <w:sz w:val="32"/>
          <w:szCs w:val="32"/>
          <w:highlight w:val="none"/>
        </w:rPr>
        <w:t>援疆协作：与新疆特克斯县江宁人民医院共建，体现公益责任的同时，也为医院技术输出和品牌辐射创造条件。</w:t>
      </w:r>
    </w:p>
    <w:p w14:paraId="4B580A45">
      <w:pPr>
        <w:pStyle w:val="2"/>
        <w:shd w:val="clear"/>
        <w:spacing w:before="0" w:after="0" w:line="560" w:lineRule="exact"/>
        <w:ind w:firstLine="640" w:firstLineChars="200"/>
        <w:rPr>
          <w:rFonts w:ascii="Times New Roman" w:hAnsi="Times New Roman" w:eastAsia="黑体" w:cs="Times New Roman"/>
          <w:b w:val="0"/>
          <w:bCs w:val="0"/>
          <w:kern w:val="2"/>
          <w:sz w:val="32"/>
          <w:szCs w:val="32"/>
          <w:highlight w:val="none"/>
        </w:rPr>
      </w:pPr>
      <w:r>
        <w:rPr>
          <w:rFonts w:ascii="Times New Roman" w:hAnsi="Times New Roman" w:eastAsia="黑体" w:cs="Times New Roman"/>
          <w:b w:val="0"/>
          <w:bCs w:val="0"/>
          <w:kern w:val="2"/>
          <w:sz w:val="32"/>
          <w:szCs w:val="32"/>
          <w:highlight w:val="none"/>
        </w:rPr>
        <w:t>四、存在问题及原因分析</w:t>
      </w:r>
    </w:p>
    <w:p w14:paraId="72253D90">
      <w:pPr>
        <w:shd w:val="clear"/>
        <w:spacing w:line="560" w:lineRule="exact"/>
        <w:ind w:firstLine="643" w:firstLineChars="200"/>
        <w:outlineLvl w:val="1"/>
        <w:rPr>
          <w:rFonts w:hint="default" w:ascii="Times New Roman" w:hAnsi="Times New Roman" w:eastAsia="楷体" w:cs="楷体"/>
          <w:b/>
          <w:bCs/>
          <w:sz w:val="32"/>
          <w:szCs w:val="32"/>
          <w:highlight w:val="none"/>
          <w:lang w:val="en-US" w:eastAsia="zh-CN"/>
        </w:rPr>
      </w:pPr>
      <w:bookmarkStart w:id="0" w:name="_Toc896"/>
      <w:bookmarkStart w:id="1" w:name="_Toc27235"/>
      <w:bookmarkStart w:id="2" w:name="_Toc22127"/>
      <w:bookmarkStart w:id="3" w:name="_Toc21873"/>
      <w:bookmarkStart w:id="4" w:name="_Toc14138"/>
      <w:r>
        <w:rPr>
          <w:rFonts w:hint="default" w:ascii="Times New Roman" w:hAnsi="Times New Roman" w:eastAsia="楷体" w:cs="楷体"/>
          <w:b/>
          <w:bCs/>
          <w:sz w:val="32"/>
          <w:szCs w:val="32"/>
          <w:highlight w:val="none"/>
          <w:lang w:val="en-US" w:eastAsia="zh-CN"/>
        </w:rPr>
        <w:t>（一）年度工作计划不够细化，</w:t>
      </w:r>
      <w:bookmarkEnd w:id="0"/>
      <w:r>
        <w:rPr>
          <w:rFonts w:hint="default" w:ascii="Times New Roman" w:hAnsi="Times New Roman" w:eastAsia="楷体" w:cs="楷体"/>
          <w:b/>
          <w:bCs/>
          <w:sz w:val="32"/>
          <w:szCs w:val="32"/>
          <w:highlight w:val="none"/>
          <w:lang w:val="en-US" w:eastAsia="zh-CN"/>
        </w:rPr>
        <w:t>预算管理有待加强</w:t>
      </w:r>
      <w:bookmarkEnd w:id="1"/>
    </w:p>
    <w:bookmarkEnd w:id="2"/>
    <w:bookmarkEnd w:id="3"/>
    <w:bookmarkEnd w:id="4"/>
    <w:p w14:paraId="5802F965">
      <w:pPr>
        <w:pStyle w:val="4"/>
        <w:shd w:val="clear"/>
        <w:spacing w:before="0" w:line="560" w:lineRule="exact"/>
        <w:ind w:firstLine="640" w:firstLineChars="200"/>
        <w:rPr>
          <w:rFonts w:hint="default" w:ascii="Times New Roman" w:hAnsi="Times New Roman" w:eastAsia="仿宋" w:cs="仿宋"/>
          <w:bCs/>
          <w:sz w:val="32"/>
          <w:szCs w:val="32"/>
          <w:highlight w:val="none"/>
        </w:rPr>
      </w:pPr>
      <w:r>
        <w:rPr>
          <w:rFonts w:hint="default" w:ascii="Times New Roman" w:hAnsi="Times New Roman" w:eastAsia="仿宋" w:cs="仿宋"/>
          <w:bCs/>
          <w:sz w:val="32"/>
          <w:szCs w:val="32"/>
          <w:highlight w:val="none"/>
          <w:lang w:val="en-US" w:eastAsia="zh-CN"/>
        </w:rPr>
        <w:t>年度工作计划不够细化。未对各项工作计划实施时间、资金和人员等</w:t>
      </w:r>
      <w:r>
        <w:rPr>
          <w:rFonts w:hint="default" w:ascii="Times New Roman" w:hAnsi="Times New Roman" w:eastAsia="仿宋" w:cs="仿宋"/>
          <w:bCs/>
          <w:sz w:val="32"/>
          <w:szCs w:val="32"/>
          <w:highlight w:val="none"/>
        </w:rPr>
        <w:t>相关内容</w:t>
      </w:r>
      <w:r>
        <w:rPr>
          <w:rFonts w:hint="default" w:ascii="Times New Roman" w:hAnsi="Times New Roman" w:eastAsia="仿宋" w:cs="仿宋"/>
          <w:bCs/>
          <w:sz w:val="32"/>
          <w:szCs w:val="32"/>
          <w:highlight w:val="none"/>
          <w:lang w:val="en-US" w:eastAsia="zh-CN"/>
        </w:rPr>
        <w:t>进行</w:t>
      </w:r>
      <w:r>
        <w:rPr>
          <w:rFonts w:hint="default" w:ascii="Times New Roman" w:hAnsi="Times New Roman" w:eastAsia="仿宋" w:cs="仿宋"/>
          <w:bCs/>
          <w:sz w:val="32"/>
          <w:szCs w:val="32"/>
          <w:highlight w:val="none"/>
        </w:rPr>
        <w:t>分解</w:t>
      </w:r>
      <w:r>
        <w:rPr>
          <w:rFonts w:hint="default" w:ascii="Times New Roman" w:hAnsi="Times New Roman" w:eastAsia="仿宋" w:cs="仿宋"/>
          <w:bCs/>
          <w:sz w:val="32"/>
          <w:szCs w:val="32"/>
          <w:highlight w:val="none"/>
          <w:lang w:val="en-US" w:eastAsia="zh-CN"/>
        </w:rPr>
        <w:t>明确，</w:t>
      </w:r>
      <w:r>
        <w:rPr>
          <w:rFonts w:hint="default" w:ascii="Times New Roman" w:hAnsi="Times New Roman" w:eastAsia="仿宋" w:cs="仿宋"/>
          <w:bCs/>
          <w:sz w:val="32"/>
          <w:szCs w:val="32"/>
          <w:highlight w:val="none"/>
          <w:lang w:eastAsia="zh-CN"/>
        </w:rPr>
        <w:t>部分工作任务对年度内需达到的目标、计划实施的主要内容要求不够明确，</w:t>
      </w:r>
      <w:r>
        <w:rPr>
          <w:rFonts w:hint="default" w:ascii="Times New Roman" w:hAnsi="Times New Roman" w:eastAsia="仿宋" w:cs="仿宋"/>
          <w:bCs/>
          <w:sz w:val="32"/>
          <w:szCs w:val="32"/>
          <w:highlight w:val="none"/>
          <w:lang w:val="en-US" w:eastAsia="zh-CN"/>
        </w:rPr>
        <w:t>导致工作实施时缺乏可参照依据，不利于相关工作开展与落实</w:t>
      </w:r>
      <w:r>
        <w:rPr>
          <w:rFonts w:hint="default" w:ascii="Times New Roman" w:hAnsi="Times New Roman" w:eastAsia="仿宋" w:cs="仿宋"/>
          <w:bCs/>
          <w:sz w:val="32"/>
          <w:szCs w:val="32"/>
          <w:highlight w:val="none"/>
        </w:rPr>
        <w:t>。</w:t>
      </w:r>
    </w:p>
    <w:p w14:paraId="6F7EC3FA">
      <w:pPr>
        <w:shd w:val="clear"/>
        <w:spacing w:line="560" w:lineRule="exact"/>
        <w:ind w:firstLine="643" w:firstLineChars="200"/>
        <w:outlineLvl w:val="1"/>
        <w:rPr>
          <w:rFonts w:hint="default" w:ascii="Times New Roman" w:hAnsi="Times New Roman" w:eastAsia="楷体" w:cs="楷体"/>
          <w:b/>
          <w:bCs/>
          <w:sz w:val="32"/>
          <w:szCs w:val="32"/>
          <w:highlight w:val="none"/>
          <w:lang w:val="en-US" w:eastAsia="zh-CN"/>
        </w:rPr>
      </w:pPr>
      <w:bookmarkStart w:id="5" w:name="_Toc3081"/>
      <w:r>
        <w:rPr>
          <w:rFonts w:hint="default" w:ascii="Times New Roman" w:hAnsi="Times New Roman" w:eastAsia="楷体" w:cs="楷体"/>
          <w:b/>
          <w:bCs/>
          <w:sz w:val="32"/>
          <w:szCs w:val="32"/>
          <w:highlight w:val="none"/>
          <w:lang w:val="en-US" w:eastAsia="zh-CN"/>
        </w:rPr>
        <w:t>（二）绩效管理水平有待进一步提高</w:t>
      </w:r>
      <w:bookmarkEnd w:id="5"/>
    </w:p>
    <w:p w14:paraId="5C7B82EA">
      <w:pPr>
        <w:pStyle w:val="4"/>
        <w:shd w:val="clear"/>
        <w:spacing w:before="0" w:line="560" w:lineRule="exact"/>
        <w:ind w:firstLine="640" w:firstLineChars="200"/>
        <w:rPr>
          <w:rFonts w:hint="default" w:ascii="Times New Roman" w:hAnsi="Times New Roman" w:eastAsia="仿宋" w:cs="仿宋"/>
          <w:bCs/>
          <w:sz w:val="32"/>
          <w:szCs w:val="32"/>
          <w:highlight w:val="none"/>
          <w:lang w:val="en-US" w:eastAsia="zh-CN"/>
        </w:rPr>
      </w:pPr>
      <w:bookmarkStart w:id="6" w:name="_Toc29671"/>
      <w:bookmarkStart w:id="7" w:name="_Toc17571"/>
      <w:bookmarkStart w:id="8" w:name="_Toc12044"/>
      <w:bookmarkStart w:id="9" w:name="_Toc14359"/>
      <w:r>
        <w:rPr>
          <w:rFonts w:hint="eastAsia" w:ascii="Times New Roman" w:hAnsi="Times New Roman" w:eastAsia="仿宋" w:cs="仿宋"/>
          <w:bCs/>
          <w:sz w:val="32"/>
          <w:szCs w:val="32"/>
          <w:highlight w:val="none"/>
          <w:lang w:val="en-US" w:eastAsia="zh-CN"/>
        </w:rPr>
        <w:t>一</w:t>
      </w:r>
      <w:r>
        <w:rPr>
          <w:rFonts w:hint="default" w:ascii="Times New Roman" w:hAnsi="Times New Roman" w:eastAsia="仿宋" w:cs="仿宋"/>
          <w:bCs/>
          <w:sz w:val="32"/>
          <w:szCs w:val="32"/>
          <w:highlight w:val="none"/>
          <w:lang w:val="en-US" w:eastAsia="zh-CN"/>
        </w:rPr>
        <w:t>是绩效指标细化量化程度不够。部门绩效目标已分解为具体指标，但部分绩效指标设置不够细化量化。如</w:t>
      </w:r>
      <w:r>
        <w:rPr>
          <w:rFonts w:hint="eastAsia" w:ascii="Times New Roman" w:hAnsi="Times New Roman" w:eastAsia="仿宋" w:cs="仿宋"/>
          <w:bCs/>
          <w:sz w:val="32"/>
          <w:szCs w:val="32"/>
          <w:highlight w:val="none"/>
          <w:lang w:val="en-US" w:eastAsia="zh-CN"/>
        </w:rPr>
        <w:t>部门履职和履职绩效的</w:t>
      </w:r>
      <w:r>
        <w:rPr>
          <w:rFonts w:hint="default" w:ascii="Times New Roman" w:hAnsi="Times New Roman" w:eastAsia="仿宋" w:cs="仿宋"/>
          <w:bCs/>
          <w:sz w:val="32"/>
          <w:szCs w:val="32"/>
          <w:highlight w:val="none"/>
        </w:rPr>
        <w:t>三级指标</w:t>
      </w:r>
      <w:r>
        <w:rPr>
          <w:rFonts w:hint="default" w:ascii="Times New Roman" w:hAnsi="Times New Roman" w:eastAsia="仿宋" w:cs="仿宋"/>
          <w:bCs/>
          <w:sz w:val="32"/>
          <w:szCs w:val="32"/>
          <w:highlight w:val="none"/>
          <w:lang w:val="en-US" w:eastAsia="zh-CN"/>
        </w:rPr>
        <w:t>为</w:t>
      </w:r>
      <w:r>
        <w:rPr>
          <w:rFonts w:hint="eastAsia" w:ascii="Times New Roman" w:hAnsi="Times New Roman" w:eastAsia="仿宋" w:cs="仿宋"/>
          <w:bCs/>
          <w:sz w:val="32"/>
          <w:szCs w:val="32"/>
          <w:highlight w:val="none"/>
          <w:lang w:val="en-US" w:eastAsia="zh-CN"/>
        </w:rPr>
        <w:t>“着力加强医疗质量和医疗安全”“</w:t>
      </w:r>
      <w:r>
        <w:rPr>
          <w:rFonts w:hint="default" w:ascii="Times New Roman" w:hAnsi="Times New Roman" w:eastAsia="仿宋" w:cs="仿宋"/>
          <w:bCs/>
          <w:sz w:val="32"/>
          <w:szCs w:val="32"/>
          <w:highlight w:val="none"/>
          <w:lang w:val="en-US" w:eastAsia="zh-CN"/>
        </w:rPr>
        <w:t>为社会公众提供更加优质的医疗服务”等</w:t>
      </w:r>
      <w:r>
        <w:rPr>
          <w:rFonts w:hint="default" w:ascii="Times New Roman" w:hAnsi="Times New Roman" w:eastAsia="仿宋" w:cs="仿宋"/>
          <w:bCs/>
          <w:sz w:val="32"/>
          <w:szCs w:val="32"/>
          <w:highlight w:val="none"/>
        </w:rPr>
        <w:t>较为</w:t>
      </w:r>
      <w:r>
        <w:rPr>
          <w:rFonts w:hint="default" w:ascii="Times New Roman" w:hAnsi="Times New Roman" w:eastAsia="仿宋" w:cs="仿宋"/>
          <w:bCs/>
          <w:sz w:val="32"/>
          <w:szCs w:val="32"/>
          <w:highlight w:val="none"/>
          <w:lang w:val="en-US" w:eastAsia="zh-CN"/>
        </w:rPr>
        <w:t>笼统</w:t>
      </w:r>
      <w:r>
        <w:rPr>
          <w:rFonts w:hint="default" w:ascii="Times New Roman" w:hAnsi="Times New Roman" w:eastAsia="仿宋" w:cs="仿宋"/>
          <w:bCs/>
          <w:sz w:val="32"/>
          <w:szCs w:val="32"/>
          <w:highlight w:val="none"/>
        </w:rPr>
        <w:t>简单，未选取在一定时期内与其核心工作密切相关的指标并加以细化、量化</w:t>
      </w:r>
      <w:r>
        <w:rPr>
          <w:rFonts w:hint="default" w:ascii="Times New Roman" w:hAnsi="Times New Roman" w:eastAsia="仿宋" w:cs="仿宋"/>
          <w:bCs/>
          <w:sz w:val="32"/>
          <w:szCs w:val="32"/>
          <w:highlight w:val="none"/>
          <w:lang w:eastAsia="zh-CN"/>
        </w:rPr>
        <w:t>，</w:t>
      </w:r>
      <w:r>
        <w:rPr>
          <w:rFonts w:hint="default" w:ascii="Times New Roman" w:hAnsi="Times New Roman" w:eastAsia="仿宋" w:cs="仿宋"/>
          <w:bCs/>
          <w:sz w:val="32"/>
          <w:szCs w:val="32"/>
          <w:highlight w:val="none"/>
          <w:lang w:val="en-US" w:eastAsia="zh-CN"/>
        </w:rPr>
        <w:t>不能全面反映和评价部门整体工作成效。</w:t>
      </w:r>
    </w:p>
    <w:p w14:paraId="6E9AAEE3">
      <w:pPr>
        <w:pStyle w:val="4"/>
        <w:shd w:val="clear"/>
        <w:spacing w:before="0" w:line="560" w:lineRule="exact"/>
        <w:ind w:firstLine="640" w:firstLineChars="200"/>
        <w:rPr>
          <w:rFonts w:hint="default"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二</w:t>
      </w:r>
      <w:r>
        <w:rPr>
          <w:rFonts w:hint="default" w:ascii="Times New Roman" w:hAnsi="Times New Roman" w:eastAsia="仿宋" w:cs="仿宋"/>
          <w:bCs/>
          <w:sz w:val="32"/>
          <w:szCs w:val="32"/>
          <w:highlight w:val="none"/>
          <w:lang w:val="en-US" w:eastAsia="zh-CN"/>
        </w:rPr>
        <w:t>是预算绩效管理未实现全覆盖。</w:t>
      </w:r>
      <w:r>
        <w:rPr>
          <w:rFonts w:hint="eastAsia" w:ascii="Times New Roman" w:hAnsi="Times New Roman" w:eastAsia="仿宋" w:cs="仿宋"/>
          <w:bCs/>
          <w:sz w:val="32"/>
          <w:szCs w:val="32"/>
          <w:highlight w:val="none"/>
          <w:lang w:val="en-US" w:eastAsia="zh-CN"/>
        </w:rPr>
        <w:t>因为</w:t>
      </w:r>
      <w:r>
        <w:rPr>
          <w:rFonts w:hint="default" w:ascii="Times New Roman" w:hAnsi="Times New Roman" w:eastAsia="仿宋" w:cs="仿宋"/>
          <w:bCs/>
          <w:sz w:val="32"/>
          <w:szCs w:val="32"/>
          <w:highlight w:val="none"/>
          <w:lang w:val="en-US" w:eastAsia="zh-CN"/>
        </w:rPr>
        <w:t>预算绩效观念不深入</w:t>
      </w:r>
      <w:r>
        <w:rPr>
          <w:rFonts w:hint="eastAsia" w:ascii="Times New Roman" w:hAnsi="Times New Roman" w:eastAsia="仿宋" w:cs="仿宋"/>
          <w:bCs/>
          <w:sz w:val="32"/>
          <w:szCs w:val="32"/>
          <w:highlight w:val="none"/>
          <w:lang w:val="en-US" w:eastAsia="zh-CN"/>
        </w:rPr>
        <w:t>，</w:t>
      </w:r>
      <w:r>
        <w:rPr>
          <w:rFonts w:hint="default" w:ascii="Times New Roman" w:hAnsi="Times New Roman" w:eastAsia="仿宋" w:cs="仿宋"/>
          <w:bCs/>
          <w:sz w:val="32"/>
          <w:szCs w:val="32"/>
          <w:highlight w:val="none"/>
          <w:lang w:val="en-US" w:eastAsia="zh-CN"/>
        </w:rPr>
        <w:t>项目事先评估不够全面，预算执行对过程的控制较弱，不利于促进预算管理。</w:t>
      </w:r>
    </w:p>
    <w:bookmarkEnd w:id="6"/>
    <w:bookmarkEnd w:id="7"/>
    <w:bookmarkEnd w:id="8"/>
    <w:bookmarkEnd w:id="9"/>
    <w:p w14:paraId="29FA79C0">
      <w:pPr>
        <w:shd w:val="clear"/>
        <w:spacing w:line="560" w:lineRule="exact"/>
        <w:ind w:firstLine="643" w:firstLineChars="200"/>
        <w:outlineLvl w:val="1"/>
        <w:rPr>
          <w:rFonts w:hint="default" w:ascii="Times New Roman" w:hAnsi="Times New Roman" w:eastAsia="楷体" w:cs="楷体"/>
          <w:b/>
          <w:bCs/>
          <w:sz w:val="32"/>
          <w:szCs w:val="32"/>
          <w:highlight w:val="none"/>
          <w:lang w:val="en-US" w:eastAsia="zh-CN"/>
        </w:rPr>
      </w:pPr>
      <w:bookmarkStart w:id="10" w:name="_Toc6796"/>
      <w:r>
        <w:rPr>
          <w:rFonts w:hint="default" w:ascii="Times New Roman" w:hAnsi="Times New Roman" w:eastAsia="楷体" w:cs="楷体"/>
          <w:b/>
          <w:bCs/>
          <w:sz w:val="32"/>
          <w:szCs w:val="32"/>
          <w:highlight w:val="none"/>
          <w:lang w:val="en-US" w:eastAsia="zh-CN"/>
        </w:rPr>
        <w:t>（</w:t>
      </w:r>
      <w:r>
        <w:rPr>
          <w:rFonts w:hint="eastAsia" w:ascii="Times New Roman" w:hAnsi="Times New Roman" w:eastAsia="楷体" w:cs="楷体"/>
          <w:b/>
          <w:bCs/>
          <w:sz w:val="32"/>
          <w:szCs w:val="32"/>
          <w:highlight w:val="none"/>
          <w:lang w:val="en-US" w:eastAsia="zh-CN"/>
        </w:rPr>
        <w:t>三</w:t>
      </w:r>
      <w:r>
        <w:rPr>
          <w:rFonts w:hint="default" w:ascii="Times New Roman" w:hAnsi="Times New Roman" w:eastAsia="楷体" w:cs="楷体"/>
          <w:b/>
          <w:bCs/>
          <w:sz w:val="32"/>
          <w:szCs w:val="32"/>
          <w:highlight w:val="none"/>
          <w:lang w:val="en-US" w:eastAsia="zh-CN"/>
        </w:rPr>
        <w:t>）</w:t>
      </w:r>
      <w:bookmarkEnd w:id="10"/>
      <w:r>
        <w:rPr>
          <w:rFonts w:hint="eastAsia" w:ascii="Times New Roman" w:hAnsi="Times New Roman" w:eastAsia="楷体" w:cs="楷体"/>
          <w:b/>
          <w:bCs/>
          <w:sz w:val="32"/>
          <w:szCs w:val="32"/>
          <w:highlight w:val="none"/>
          <w:lang w:val="en-US" w:eastAsia="zh-CN"/>
        </w:rPr>
        <w:t>部门履职效能仍有优化空间</w:t>
      </w:r>
    </w:p>
    <w:p w14:paraId="003AC18F">
      <w:pPr>
        <w:pStyle w:val="4"/>
        <w:shd w:val="clear"/>
        <w:spacing w:before="0" w:line="560" w:lineRule="exact"/>
        <w:ind w:firstLine="640" w:firstLineChars="200"/>
        <w:rPr>
          <w:rFonts w:hint="default" w:ascii="Times New Roman" w:hAnsi="Times New Roman" w:eastAsia="仿宋" w:cs="仿宋"/>
          <w:bCs/>
          <w:sz w:val="32"/>
          <w:szCs w:val="32"/>
          <w:highlight w:val="none"/>
          <w:lang w:val="en-US" w:eastAsia="zh-CN"/>
        </w:rPr>
      </w:pPr>
      <w:r>
        <w:rPr>
          <w:rFonts w:hint="default" w:ascii="Times New Roman" w:hAnsi="Times New Roman" w:eastAsia="仿宋" w:cs="仿宋"/>
          <w:bCs/>
          <w:sz w:val="32"/>
          <w:szCs w:val="32"/>
          <w:highlight w:val="none"/>
          <w:lang w:val="en-US" w:eastAsia="zh-CN"/>
        </w:rPr>
        <w:t>一是</w:t>
      </w:r>
      <w:r>
        <w:rPr>
          <w:rFonts w:hint="eastAsia" w:ascii="Times New Roman" w:hAnsi="Times New Roman" w:eastAsia="仿宋" w:cs="仿宋"/>
          <w:bCs/>
          <w:sz w:val="32"/>
          <w:szCs w:val="32"/>
          <w:highlight w:val="none"/>
          <w:lang w:val="en-US" w:eastAsia="zh-CN"/>
        </w:rPr>
        <w:t>事业收入</w:t>
      </w:r>
      <w:r>
        <w:rPr>
          <w:rFonts w:hint="default" w:ascii="Times New Roman" w:hAnsi="Times New Roman" w:eastAsia="仿宋" w:cs="仿宋"/>
          <w:bCs/>
          <w:sz w:val="32"/>
          <w:szCs w:val="32"/>
          <w:highlight w:val="none"/>
          <w:lang w:val="en-US" w:eastAsia="zh-CN"/>
        </w:rPr>
        <w:t>增速偏低：总收入增长7.9%，但</w:t>
      </w:r>
      <w:r>
        <w:rPr>
          <w:rFonts w:hint="eastAsia" w:ascii="Times New Roman" w:hAnsi="Times New Roman" w:eastAsia="仿宋" w:cs="仿宋"/>
          <w:bCs/>
          <w:sz w:val="32"/>
          <w:szCs w:val="32"/>
          <w:highlight w:val="none"/>
          <w:lang w:val="en-US" w:eastAsia="zh-CN"/>
        </w:rPr>
        <w:t>事业收入</w:t>
      </w:r>
      <w:r>
        <w:rPr>
          <w:rFonts w:hint="default" w:ascii="Times New Roman" w:hAnsi="Times New Roman" w:eastAsia="仿宋" w:cs="仿宋"/>
          <w:bCs/>
          <w:sz w:val="32"/>
          <w:szCs w:val="32"/>
          <w:highlight w:val="none"/>
          <w:lang w:val="en-US" w:eastAsia="zh-CN"/>
        </w:rPr>
        <w:t>仅增长2%，说明对财政或非业务收入依赖增强。需强化核心医疗服务创收能力，提高技术性收入占比。</w:t>
      </w:r>
    </w:p>
    <w:p w14:paraId="3D04157E">
      <w:pPr>
        <w:pStyle w:val="4"/>
        <w:shd w:val="clear"/>
        <w:spacing w:before="0" w:line="560" w:lineRule="exact"/>
        <w:ind w:firstLine="640" w:firstLineChars="200"/>
        <w:rPr>
          <w:rFonts w:hint="default" w:ascii="Times New Roman" w:hAnsi="Times New Roman" w:eastAsia="仿宋" w:cs="仿宋"/>
          <w:bCs/>
          <w:sz w:val="32"/>
          <w:szCs w:val="32"/>
          <w:highlight w:val="none"/>
          <w:lang w:val="en-US" w:eastAsia="zh-CN"/>
        </w:rPr>
      </w:pPr>
      <w:r>
        <w:rPr>
          <w:rFonts w:hint="default" w:ascii="Times New Roman" w:hAnsi="Times New Roman" w:eastAsia="仿宋" w:cs="仿宋"/>
          <w:bCs/>
          <w:sz w:val="32"/>
          <w:szCs w:val="32"/>
          <w:highlight w:val="none"/>
          <w:lang w:val="en-US" w:eastAsia="zh-CN"/>
        </w:rPr>
        <w:t>二是</w:t>
      </w:r>
      <w:r>
        <w:rPr>
          <w:rFonts w:hint="eastAsia" w:ascii="Times New Roman" w:hAnsi="Times New Roman" w:eastAsia="仿宋" w:cs="仿宋"/>
          <w:bCs/>
          <w:sz w:val="32"/>
          <w:szCs w:val="32"/>
          <w:highlight w:val="none"/>
          <w:lang w:val="en-US" w:eastAsia="zh-CN"/>
        </w:rPr>
        <w:t>药占比仍有优化空间</w:t>
      </w:r>
      <w:r>
        <w:rPr>
          <w:rFonts w:hint="default" w:ascii="Times New Roman" w:hAnsi="Times New Roman" w:eastAsia="仿宋" w:cs="仿宋"/>
          <w:bCs/>
          <w:sz w:val="32"/>
          <w:szCs w:val="32"/>
          <w:highlight w:val="none"/>
          <w:lang w:val="en-US" w:eastAsia="zh-CN"/>
        </w:rPr>
        <w:t>：虽同比下降2个百分点至37.4%，但对照公立医院高质量发展药占比30%左右的导向，仍有较大下降空间</w:t>
      </w:r>
      <w:r>
        <w:rPr>
          <w:rFonts w:hint="eastAsia" w:ascii="Times New Roman" w:hAnsi="Times New Roman" w:eastAsia="仿宋" w:cs="仿宋"/>
          <w:bCs/>
          <w:sz w:val="32"/>
          <w:szCs w:val="32"/>
          <w:highlight w:val="none"/>
          <w:lang w:val="en-US" w:eastAsia="zh-CN"/>
        </w:rPr>
        <w:t>。</w:t>
      </w:r>
    </w:p>
    <w:p w14:paraId="66748022">
      <w:pPr>
        <w:pStyle w:val="2"/>
        <w:shd w:val="clear"/>
        <w:spacing w:before="0" w:after="0" w:line="560" w:lineRule="exact"/>
        <w:ind w:firstLine="640" w:firstLineChars="200"/>
        <w:rPr>
          <w:rFonts w:ascii="Times New Roman" w:hAnsi="Times New Roman" w:eastAsia="黑体" w:cs="Times New Roman"/>
          <w:b w:val="0"/>
          <w:bCs w:val="0"/>
          <w:kern w:val="2"/>
          <w:sz w:val="32"/>
          <w:szCs w:val="32"/>
          <w:highlight w:val="none"/>
        </w:rPr>
      </w:pPr>
      <w:r>
        <w:rPr>
          <w:rFonts w:ascii="Times New Roman" w:hAnsi="Times New Roman" w:eastAsia="黑体" w:cs="Times New Roman"/>
          <w:b w:val="0"/>
          <w:bCs w:val="0"/>
          <w:kern w:val="2"/>
          <w:sz w:val="32"/>
          <w:szCs w:val="32"/>
          <w:highlight w:val="none"/>
        </w:rPr>
        <w:t>五、有关建议</w:t>
      </w:r>
    </w:p>
    <w:p w14:paraId="5F4B4BF3">
      <w:pPr>
        <w:shd w:val="clear"/>
        <w:spacing w:line="560" w:lineRule="exact"/>
        <w:ind w:firstLine="643" w:firstLineChars="200"/>
        <w:outlineLvl w:val="1"/>
        <w:rPr>
          <w:rFonts w:hint="eastAsia" w:ascii="Times New Roman" w:hAnsi="Times New Roman" w:eastAsia="楷体" w:cs="楷体"/>
          <w:b/>
          <w:bCs/>
          <w:sz w:val="32"/>
          <w:szCs w:val="32"/>
          <w:highlight w:val="none"/>
          <w:lang w:val="en-US" w:eastAsia="zh-CN"/>
        </w:rPr>
      </w:pPr>
      <w:r>
        <w:rPr>
          <w:rFonts w:hint="eastAsia" w:ascii="Times New Roman" w:hAnsi="Times New Roman" w:eastAsia="楷体" w:cs="楷体"/>
          <w:b/>
          <w:bCs/>
          <w:sz w:val="32"/>
          <w:szCs w:val="32"/>
          <w:highlight w:val="none"/>
          <w:lang w:val="en-US" w:eastAsia="zh-CN"/>
        </w:rPr>
        <w:t>（一）细化工作计划并严控预算调整</w:t>
      </w:r>
    </w:p>
    <w:p w14:paraId="2DFB4A3C">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一是细化年度工作计划，明确执行要素。对照问题中“未对时间、资金、人员分解”和“目标要求不明确”，要求每项工作计划在编制时同步形成《任务分解表》，逐项列明：实施时间（具体到季度或月度）、责任部门及负责人、预算资金额度及来源（财政拨款/事业收入等）、年度内分阶段目标（如“一季度完成选址，二季度启动招标”）及主要实施内容。</w:t>
      </w:r>
    </w:p>
    <w:p w14:paraId="60B6428F">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二是强化预算编制准确性，严格控制调整率。建立“三年滚动项目库”，对拟在年度内实施的重大项目（如老年病防治研究中心）须在上一年度9月底前完成可行性研究、概算评审等前期工作，纳入年初预算，杜绝年中大幅追加。</w:t>
      </w:r>
    </w:p>
    <w:p w14:paraId="6CAEAA5A">
      <w:pPr>
        <w:shd w:val="clear"/>
        <w:spacing w:line="560" w:lineRule="exact"/>
        <w:ind w:firstLine="643" w:firstLineChars="200"/>
        <w:outlineLvl w:val="1"/>
        <w:rPr>
          <w:rFonts w:hint="eastAsia" w:ascii="Times New Roman" w:hAnsi="Times New Roman" w:eastAsia="楷体" w:cs="楷体"/>
          <w:b/>
          <w:bCs/>
          <w:sz w:val="32"/>
          <w:szCs w:val="32"/>
          <w:highlight w:val="none"/>
          <w:lang w:val="en-US" w:eastAsia="zh-CN"/>
        </w:rPr>
      </w:pPr>
      <w:r>
        <w:rPr>
          <w:rFonts w:hint="eastAsia" w:ascii="Times New Roman" w:hAnsi="Times New Roman" w:eastAsia="楷体" w:cs="楷体"/>
          <w:b/>
          <w:bCs/>
          <w:sz w:val="32"/>
          <w:szCs w:val="32"/>
          <w:highlight w:val="none"/>
          <w:lang w:val="en-US" w:eastAsia="zh-CN"/>
        </w:rPr>
        <w:t>（二）提升绩效目标编制与全过程管理水平</w:t>
      </w:r>
    </w:p>
    <w:p w14:paraId="09E9A59D">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一是细化量化绩效指标，提升可评价性。“着力加强医疗质量和医疗安全”细化为“医疗安全（不良）事件发生率≤0.4%”“Ⅰ类切口手术部位感染率≤0.5%”“病历甲级率≥95%”。“为社会公众提供更优质的医疗服务”细化为“门诊患者满意度≥90%”“住院患者满意度≥92%”“平均预约诊疗率≥60%”“平均住院日≤10天”。每项指标须明确数据来源、统计周期和目标值，纳入科室年度考核。</w:t>
      </w:r>
    </w:p>
    <w:p w14:paraId="59FE583F">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二是实现预算绩效管理全覆盖。对所有新增项目（金额≥100万元）实施事前绩效评估，评估内容包括立项必要性、投入经济性、方案可行性，未通过评估不得立项。建立“双监控”机制：每季度比对预算执行率与绩效目标完成进度，对偏离目标超过10%的项目进行预警并限期整改；绩效评价结果与下一年度科室预算安排挂钩</w:t>
      </w:r>
    </w:p>
    <w:p w14:paraId="7DCEE239">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p>
    <w:p w14:paraId="7B90858E">
      <w:pPr>
        <w:shd w:val="clear"/>
        <w:spacing w:line="560" w:lineRule="exact"/>
        <w:ind w:firstLine="643" w:firstLineChars="200"/>
        <w:outlineLvl w:val="1"/>
        <w:rPr>
          <w:rFonts w:hint="eastAsia" w:ascii="Times New Roman" w:hAnsi="Times New Roman" w:eastAsia="楷体" w:cs="楷体"/>
          <w:b/>
          <w:bCs/>
          <w:sz w:val="32"/>
          <w:szCs w:val="32"/>
          <w:highlight w:val="none"/>
          <w:lang w:val="en-US" w:eastAsia="zh-CN"/>
        </w:rPr>
      </w:pPr>
      <w:r>
        <w:rPr>
          <w:rFonts w:hint="eastAsia" w:ascii="Times New Roman" w:hAnsi="Times New Roman" w:eastAsia="楷体" w:cs="楷体"/>
          <w:b/>
          <w:bCs/>
          <w:sz w:val="32"/>
          <w:szCs w:val="32"/>
          <w:highlight w:val="none"/>
          <w:lang w:val="en-US" w:eastAsia="zh-CN"/>
        </w:rPr>
        <w:t>（三）优化收入结构与资源效能，降低药耗占比</w:t>
      </w:r>
    </w:p>
    <w:p w14:paraId="6138151A">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一是优化收入结构，提高技术性收入占比。重点发展技术性服务（微创手术、康复治疗、高难度病种诊疗），力争三年内技术性收入占事业收入比重提升5%。将技术性收入增长率纳入临床科室绩效考核（权重不低于10%）。适度控制非业务收入依赖，财政资金主要用于资本性支出，日常运营更多依靠自身事业收入支撑。</w:t>
      </w:r>
    </w:p>
    <w:p w14:paraId="712284AE">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二是持续降低药占比，对标高质量发展要求。推行临床路径管理，覆盖主要病种。对辅助用药、抗菌药物实施重点监控和处方点评，每月公示科室药占比排名。将药占比纳入科室绩效考核，权重不低于10%。参照省内同级医院平均水平（约32%），每年可下降1%—2%。</w:t>
      </w:r>
    </w:p>
    <w:p w14:paraId="2AA68B98">
      <w:pPr>
        <w:pStyle w:val="2"/>
        <w:shd w:val="clear"/>
        <w:spacing w:before="0" w:after="0" w:line="560" w:lineRule="exact"/>
        <w:ind w:firstLine="640" w:firstLineChars="200"/>
        <w:rPr>
          <w:rFonts w:hint="eastAsia" w:ascii="Times New Roman" w:hAnsi="Times New Roman" w:eastAsia="黑体" w:cs="Times New Roman"/>
          <w:b w:val="0"/>
          <w:bCs w:val="0"/>
          <w:kern w:val="2"/>
          <w:sz w:val="32"/>
          <w:szCs w:val="32"/>
          <w:highlight w:val="none"/>
        </w:rPr>
      </w:pPr>
      <w:r>
        <w:rPr>
          <w:rFonts w:hint="eastAsia" w:ascii="Times New Roman" w:hAnsi="Times New Roman" w:eastAsia="黑体" w:cs="Times New Roman"/>
          <w:b w:val="0"/>
          <w:bCs w:val="0"/>
          <w:kern w:val="2"/>
          <w:sz w:val="32"/>
          <w:szCs w:val="32"/>
          <w:highlight w:val="none"/>
        </w:rPr>
        <w:t>六、评价工作开展情况及其他需说明的情况</w:t>
      </w:r>
    </w:p>
    <w:p w14:paraId="42E20909">
      <w:pPr>
        <w:shd w:val="clear"/>
        <w:spacing w:line="560" w:lineRule="exact"/>
        <w:ind w:firstLine="643" w:firstLineChars="200"/>
        <w:outlineLvl w:val="1"/>
        <w:rPr>
          <w:rFonts w:hint="eastAsia" w:ascii="Times New Roman" w:hAnsi="Times New Roman" w:eastAsia="楷体" w:cs="楷体"/>
          <w:b/>
          <w:bCs/>
          <w:sz w:val="32"/>
          <w:szCs w:val="32"/>
          <w:highlight w:val="none"/>
          <w:lang w:val="en-US" w:eastAsia="zh-CN"/>
        </w:rPr>
      </w:pPr>
      <w:r>
        <w:rPr>
          <w:rFonts w:hint="eastAsia" w:ascii="Times New Roman" w:hAnsi="Times New Roman" w:eastAsia="楷体" w:cs="楷体"/>
          <w:b/>
          <w:bCs/>
          <w:sz w:val="32"/>
          <w:szCs w:val="32"/>
          <w:highlight w:val="none"/>
          <w:lang w:val="en-US" w:eastAsia="zh-CN"/>
        </w:rPr>
        <w:t>（一）绩效评价工作情况</w:t>
      </w:r>
    </w:p>
    <w:p w14:paraId="6537F62F">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1.评价思路及方法</w:t>
      </w:r>
    </w:p>
    <w:p w14:paraId="12F9190B">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（1）评价重点</w:t>
      </w:r>
    </w:p>
    <w:p w14:paraId="35D63433">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根据南京市财政局对本次评价提出的关注重点，结合上述部门工作特点，评价组将围绕部门决策、管理效率、履职效能、社会效应、可持续发展能力、服务对象满意度六部分开展评价：</w:t>
      </w:r>
    </w:p>
    <w:p w14:paraId="770F1D47">
      <w:pPr>
        <w:pStyle w:val="4"/>
        <w:shd w:val="clear"/>
        <w:spacing w:before="0" w:line="560" w:lineRule="exact"/>
        <w:ind w:firstLine="640" w:firstLineChars="200"/>
        <w:rPr>
          <w:rFonts w:hint="default"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部门决策情况：围绕部门决策机制、中长期规划、年度工作计划、部门预算编制开展评价。其中部门决策机制重点考察决策制度的规范性、决策流程的科学性、决策执行监督制衡机制、中长期规划明确性、中长期规划与部门职能的匹配性、年度工作计划明确性、年度工作计划与部门职能的匹配性、预算编制科学规范性、预算编制与重点工作任务的匹配性；中长期规划重点考察中长期规划明确性、中长期规划与部门职能的匹配性；年度工作计划重点考察年度工作计划明确性、年度工作计划与部门职能的匹配性；部门预算编制重点考察预算编制科学规范性、预算编制与重点工作任务的匹配性。</w:t>
      </w:r>
    </w:p>
    <w:p w14:paraId="5A260307">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部门管理效率情况：围绕预算执行、收支管理、资产管理、政府采购管理、内部控制管理、预算绩效管理开展评价。在预算执行方面，主要考察部门预算执行率、预决算信息公开情况；在收支管理方面，考察收支管理制度健全性、收支管理规范性；在资产管理方面，考察项目资产管理制度健全性、资产管理规范性；在政府采购管理方面，考察政府采购管理制度健全性、政府采购规范性；在内部控制管理方面，考察内部控制建设情况、内部控制执行情况、内部控制监督评价；在预算绩效管理方面，考察组织管理情况、工作开展情况、绩效信息公开情况。</w:t>
      </w:r>
    </w:p>
    <w:p w14:paraId="76ACF405">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部门履职效能情况：按照部门职能－规划－工作计划－工作目标的逻辑路径，全面评价南京市中心医院部门年度履职情况。根据部门工作重点确定本次评价的重点工作及大额支出项目。然后，对照年度工作计划，评估各项任务的完成情况和质量，包括落实公立医院改革、医疗专用设备购置、党建工作情况、医疗服务能力、医疗质量与安全、对外合作与学科建设、中医与老年特色服务、智慧医院建设、重大专项落实。最后，根据工作目标的实现程度，对部门的整体履职效果进行总结评价，提出改进建议和未来工作方向。这一过程需要综合运用定量和定性分析方法，确保评价的全面性和客观性。</w:t>
      </w:r>
    </w:p>
    <w:p w14:paraId="731BFD88">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部门社会效应情况：围绕社会效益和经济效益开展评价。在社会效益方面，主要考察为社会公众提供更加优质的医疗服务、老年医疗服务普及性、临床重点专科建设成效、荣誉与认证；在经济效益方面，主要考察事业收入增长率、总控费降本增效、医院总收入增长率、医疗服务收入增长率、医养中心业务收入。</w:t>
      </w:r>
    </w:p>
    <w:p w14:paraId="15132CDC">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部门可持续发展能力情况：围绕人才培养任务、高质量发展规划开展评价。在社会效益方面，主要考察招聘高层次人才及专技人员、三级甲等老年病医院创建推进、附属医院建设推进、学科科研平台建设。</w:t>
      </w:r>
    </w:p>
    <w:p w14:paraId="41D8E996">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部门服务对象满意度情况：主要考察患者和社会公众对医院服务的满意度。</w:t>
      </w:r>
    </w:p>
    <w:p w14:paraId="21D434F2">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（2）评价原则</w:t>
      </w:r>
    </w:p>
    <w:p w14:paraId="6F48FA25">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全面覆盖。资金方面，包含基本支出和项目支出等全部经费。业务方面，包含南京市中心医院所有项目。</w:t>
      </w:r>
    </w:p>
    <w:p w14:paraId="6FFB335E">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重点突出。在分析部门整体资金、职责、管理的基础上，选择与部门业务密切相关、凸显部门职能的相关业务/项目和资金进行重点评价。</w:t>
      </w:r>
    </w:p>
    <w:p w14:paraId="2F0FF9E6">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行业特色。结合行业领域内在规律、发展现状、资金分配、核心职能履职等方面的特点，设计评价方案和指标体系、选取部分服务对象开展调查。</w:t>
      </w:r>
    </w:p>
    <w:p w14:paraId="5716B307">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讲求实效。根据预算绩效管理要求，对部门预算绩效管理存在的问题进行分析，并提出能够落地的建议，为进一步优化部门项目及预算提供支撑。</w:t>
      </w:r>
    </w:p>
    <w:p w14:paraId="7F824F76">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（3）评价方法</w:t>
      </w:r>
    </w:p>
    <w:p w14:paraId="7C9CC909">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为客观、全面反映评价结果，根据南京市中心医院特点及核心业务工作，本次绩效评价工作使用以下评价方法：</w:t>
      </w:r>
    </w:p>
    <w:p w14:paraId="2A9323AB">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比较法：根据南京市中心医院年初制定的各项业务目标，和当年目标完成情况进行比较。</w:t>
      </w:r>
    </w:p>
    <w:p w14:paraId="57720BA4">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因素分析法：基于部门职能、中长期规划及2025年工作计划，明确南京市中心医院部门绩效目标，为绩效评价奠定基础；通过与部门职能、科室职责、岗位工作内容的比较，分析本年度南京市中心医院履职责任的落实情况以及日常管理工作的规范性、有效性等。</w:t>
      </w:r>
    </w:p>
    <w:p w14:paraId="1848A951">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bookmarkStart w:id="11" w:name="_Toc27193"/>
      <w:bookmarkStart w:id="12" w:name="_Toc8460"/>
      <w:r>
        <w:rPr>
          <w:rFonts w:hint="eastAsia" w:ascii="Times New Roman" w:hAnsi="Times New Roman" w:eastAsia="仿宋" w:cs="仿宋"/>
          <w:bCs/>
          <w:sz w:val="32"/>
          <w:szCs w:val="32"/>
          <w:highlight w:val="none"/>
          <w:lang w:val="en-US" w:eastAsia="zh-CN"/>
        </w:rPr>
        <w:t>社会调查法：</w:t>
      </w:r>
      <w:bookmarkEnd w:id="11"/>
      <w:bookmarkEnd w:id="12"/>
      <w:bookmarkStart w:id="13" w:name="_Toc7609"/>
      <w:r>
        <w:rPr>
          <w:rFonts w:hint="eastAsia" w:ascii="Times New Roman" w:hAnsi="Times New Roman" w:eastAsia="仿宋" w:cs="仿宋"/>
          <w:bCs/>
          <w:sz w:val="32"/>
          <w:szCs w:val="32"/>
          <w:highlight w:val="none"/>
          <w:lang w:val="en-US" w:eastAsia="zh-CN"/>
        </w:rPr>
        <w:t>主要包括对项目主管单位、项目执行单位和项目受益方的相关人员进行访谈，对项目主管单位和执行单位的管理人员，以及项目受益方进行满意度调查，获得对该项目经费落实情况的社会满意度。</w:t>
      </w:r>
    </w:p>
    <w:p w14:paraId="535FB2A2">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（4）评价依据</w:t>
      </w:r>
    </w:p>
    <w:p w14:paraId="17030A50">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《中共中央 国务院关于全面实施预算绩效管理的意见》（中发〔2018〕34号）；</w:t>
      </w:r>
    </w:p>
    <w:p w14:paraId="7F238C2A">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《中共江苏省委江苏省人民政府关于全面实施预算绩效管理的实施意见》（苏发〔2019〕6号）；</w:t>
      </w:r>
    </w:p>
    <w:p w14:paraId="210DA447">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《南京市市级预算绩效管理办法》（宁委办厅字〔2024〕2号）</w:t>
      </w:r>
    </w:p>
    <w:p w14:paraId="4F917F14">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《关于开展2025年度市级预算绩效单位自评和部门评价的通知》（宁财绩通〔2026〕7号）。</w:t>
      </w:r>
    </w:p>
    <w:bookmarkEnd w:id="13"/>
    <w:p w14:paraId="65112C99">
      <w:pPr>
        <w:pStyle w:val="4"/>
        <w:shd w:val="clear"/>
        <w:spacing w:before="0" w:line="560" w:lineRule="exact"/>
        <w:ind w:firstLine="640" w:firstLineChars="200"/>
        <w:rPr>
          <w:rFonts w:hint="eastAsia" w:ascii="Times New Roman" w:hAnsi="Times New Roman" w:eastAsia="仿宋" w:cs="仿宋"/>
          <w:bCs/>
          <w:color w:val="000000" w:themeColor="text1"/>
          <w:sz w:val="32"/>
          <w:szCs w:val="32"/>
          <w:highlight w:val="none"/>
          <w:lang w:val="en-US" w:eastAsia="zh-CN"/>
        </w:rPr>
      </w:pPr>
      <w:r>
        <w:rPr>
          <w:rFonts w:hint="eastAsia" w:ascii="Times New Roman" w:hAnsi="Times New Roman" w:eastAsia="仿宋" w:cs="仿宋"/>
          <w:bCs/>
          <w:color w:val="000000" w:themeColor="text1"/>
          <w:sz w:val="32"/>
          <w:szCs w:val="32"/>
          <w:highlight w:val="none"/>
          <w:lang w:val="en-US" w:eastAsia="zh-CN"/>
        </w:rPr>
        <w:t>2.评价组织与分工</w:t>
      </w:r>
    </w:p>
    <w:p w14:paraId="602EE4CE">
      <w:pPr>
        <w:pStyle w:val="4"/>
        <w:shd w:val="clear"/>
        <w:spacing w:before="0" w:line="560" w:lineRule="exact"/>
        <w:ind w:firstLine="640" w:firstLineChars="200"/>
        <w:rPr>
          <w:rFonts w:hint="eastAsia" w:ascii="Times New Roman" w:hAnsi="Times New Roman" w:eastAsia="仿宋" w:cs="仿宋"/>
          <w:bCs/>
          <w:color w:val="000000" w:themeColor="text1"/>
          <w:sz w:val="32"/>
          <w:szCs w:val="32"/>
          <w:highlight w:val="none"/>
          <w:lang w:val="en-US" w:eastAsia="zh-CN"/>
        </w:rPr>
      </w:pPr>
      <w:r>
        <w:rPr>
          <w:rFonts w:hint="eastAsia" w:ascii="Times New Roman" w:hAnsi="Times New Roman" w:eastAsia="仿宋" w:cs="仿宋"/>
          <w:bCs/>
          <w:color w:val="000000" w:themeColor="text1"/>
          <w:sz w:val="32"/>
          <w:szCs w:val="32"/>
          <w:highlight w:val="none"/>
          <w:lang w:val="en-US" w:eastAsia="zh-CN"/>
        </w:rPr>
        <w:t>2025年整体绩效评价工作负责人是孙嫔，主评人是鲁子健。</w:t>
      </w:r>
    </w:p>
    <w:p w14:paraId="584E1262">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3.评价过程</w:t>
      </w:r>
    </w:p>
    <w:p w14:paraId="3222593D">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（1）前期准备阶段：成立评价工作小组，初步收集部门相关资料文件，了解单位基本情况，制定评价工作方案及评价指标体系。</w:t>
      </w:r>
    </w:p>
    <w:p w14:paraId="291EFAA2">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（2）组织实施阶段：深入了解单位的目标设定及完成程度、组织管理制度建立健全及落实情况、预算支出执行情况、财务管理状况、资产管理情况、管理效率和履职绩效等，对数据进行检查和核实。</w:t>
      </w:r>
    </w:p>
    <w:p w14:paraId="227EEEDF">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（3）分析评价阶段：汇总整理获取的财务数据和相关业务资料，综合运用比较法、因素分析法等方法进行评价分析，对部门整体支出绩效完成情况进行评分，撰写绩效评价报告。</w:t>
      </w:r>
    </w:p>
    <w:p w14:paraId="3E024058">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4.评价指标体系</w:t>
      </w:r>
    </w:p>
    <w:p w14:paraId="11BF88E0">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南京市中心医院是集医疗、保健、教学、科研为一体的三级老年病医院，面向社会提供医疗服务，2025年的重点工作围绕老年病防治研究中心启用、老年医疗服务体系建设、医养结合深化等核心任务展开。根据《关于开展2025年度市级预算绩效单位自评和部门评价的通知》（宁财绩通〔2026〕7号），从“运行成本”“管理效率”“履职效能”“社会效应”“可持续发展能力”“服务对象满意度”六个维度，提炼个性指标。</w:t>
      </w:r>
    </w:p>
    <w:p w14:paraId="04456308">
      <w:pPr>
        <w:pStyle w:val="4"/>
        <w:shd w:val="clear"/>
        <w:spacing w:before="0" w:line="560" w:lineRule="exact"/>
        <w:ind w:firstLine="640" w:firstLineChars="200"/>
        <w:rPr>
          <w:rFonts w:hint="eastAsia" w:ascii="Times New Roman" w:hAnsi="Times New Roman" w:eastAsia="仿宋" w:cs="仿宋"/>
          <w:bCs/>
          <w:sz w:val="32"/>
          <w:szCs w:val="32"/>
          <w:highlight w:val="none"/>
          <w:lang w:val="en-US" w:eastAsia="zh-CN"/>
        </w:rPr>
      </w:pPr>
      <w:r>
        <w:rPr>
          <w:rFonts w:hint="eastAsia" w:ascii="Times New Roman" w:hAnsi="Times New Roman" w:eastAsia="仿宋" w:cs="仿宋"/>
          <w:bCs/>
          <w:sz w:val="32"/>
          <w:szCs w:val="32"/>
          <w:highlight w:val="none"/>
          <w:lang w:val="en-US" w:eastAsia="zh-CN"/>
        </w:rPr>
        <w:t>2025年南京市中心医院部门整体绩效评价指标体系共设计6个一级指标，24个二级指标、65个三级指标。详见《2025年南京市中心医院部门整体绩效评价评分表》</w:t>
      </w:r>
    </w:p>
    <w:p w14:paraId="791F1515">
      <w:pPr>
        <w:shd w:val="clear"/>
        <w:snapToGrid w:val="0"/>
        <w:spacing w:line="520" w:lineRule="exact"/>
        <w:ind w:firstLine="640" w:firstLineChars="200"/>
        <w:rPr>
          <w:rFonts w:hint="eastAsia" w:ascii="Times New Roman" w:hAnsi="Times New Roman" w:eastAsia="仿宋" w:cs="仿宋"/>
          <w:sz w:val="32"/>
          <w:szCs w:val="32"/>
          <w:highlight w:val="none"/>
        </w:rPr>
      </w:pPr>
      <w:r>
        <w:rPr>
          <w:rFonts w:hint="eastAsia" w:ascii="Times New Roman" w:hAnsi="Times New Roman" w:eastAsia="仿宋" w:cs="仿宋"/>
          <w:sz w:val="32"/>
          <w:szCs w:val="32"/>
          <w:highlight w:val="none"/>
        </w:rPr>
        <w:t>附件：《南京市中心医院</w:t>
      </w:r>
      <w:r>
        <w:rPr>
          <w:rFonts w:hint="eastAsia" w:ascii="Times New Roman" w:hAnsi="Times New Roman" w:eastAsia="仿宋" w:cs="仿宋"/>
          <w:sz w:val="32"/>
          <w:szCs w:val="32"/>
          <w:highlight w:val="none"/>
          <w:lang w:eastAsia="zh-CN"/>
        </w:rPr>
        <w:t>2025年度</w:t>
      </w:r>
      <w:r>
        <w:rPr>
          <w:rFonts w:hint="eastAsia" w:ascii="Times New Roman" w:hAnsi="Times New Roman" w:eastAsia="仿宋" w:cs="仿宋"/>
          <w:sz w:val="32"/>
          <w:szCs w:val="32"/>
          <w:highlight w:val="none"/>
        </w:rPr>
        <w:t>部门整体绩效综合评价表》</w:t>
      </w:r>
    </w:p>
    <w:p w14:paraId="4C83C70A">
      <w:pPr>
        <w:shd w:val="clear"/>
        <w:snapToGrid w:val="0"/>
        <w:spacing w:line="520" w:lineRule="exact"/>
        <w:ind w:firstLine="640" w:firstLineChars="200"/>
        <w:rPr>
          <w:rFonts w:hint="eastAsia" w:ascii="Times New Roman" w:hAnsi="Times New Roman" w:eastAsia="仿宋" w:cs="仿宋"/>
          <w:sz w:val="32"/>
          <w:szCs w:val="32"/>
          <w:highlight w:val="none"/>
        </w:rPr>
      </w:pPr>
    </w:p>
    <w:p w14:paraId="3C9A8E93">
      <w:pPr>
        <w:shd w:val="clear"/>
        <w:snapToGrid w:val="0"/>
        <w:spacing w:line="520" w:lineRule="exact"/>
        <w:ind w:firstLine="640" w:firstLineChars="200"/>
        <w:rPr>
          <w:rFonts w:hint="eastAsia" w:ascii="Times New Roman" w:hAnsi="Times New Roman" w:eastAsia="仿宋" w:cs="仿宋"/>
          <w:sz w:val="32"/>
          <w:szCs w:val="32"/>
          <w:highlight w:val="none"/>
        </w:rPr>
      </w:pPr>
    </w:p>
    <w:p w14:paraId="0ADCC37E">
      <w:pPr>
        <w:shd w:val="clear"/>
        <w:snapToGrid w:val="0"/>
        <w:spacing w:line="520" w:lineRule="exact"/>
        <w:ind w:firstLine="640" w:firstLineChars="200"/>
        <w:rPr>
          <w:rFonts w:hint="eastAsia" w:ascii="Times New Roman" w:hAnsi="Times New Roman" w:eastAsia="仿宋" w:cs="仿宋"/>
          <w:sz w:val="32"/>
          <w:szCs w:val="32"/>
          <w:highlight w:val="none"/>
        </w:rPr>
      </w:pPr>
    </w:p>
    <w:p w14:paraId="149A83DF">
      <w:pPr>
        <w:shd w:val="clear"/>
        <w:snapToGrid w:val="0"/>
        <w:spacing w:line="520" w:lineRule="exact"/>
        <w:ind w:firstLine="640" w:firstLineChars="200"/>
        <w:rPr>
          <w:rFonts w:hint="eastAsia" w:ascii="Times New Roman" w:hAnsi="Times New Roman" w:eastAsia="仿宋" w:cs="仿宋"/>
          <w:sz w:val="32"/>
          <w:szCs w:val="32"/>
          <w:highlight w:val="none"/>
        </w:rPr>
      </w:pPr>
    </w:p>
    <w:p w14:paraId="3504EADF">
      <w:pPr>
        <w:shd w:val="clear"/>
        <w:snapToGrid w:val="0"/>
        <w:spacing w:line="520" w:lineRule="exact"/>
        <w:ind w:firstLine="640" w:firstLineChars="200"/>
        <w:rPr>
          <w:rFonts w:hint="eastAsia" w:ascii="Times New Roman" w:hAnsi="Times New Roman" w:eastAsia="仿宋" w:cs="仿宋"/>
          <w:sz w:val="32"/>
          <w:szCs w:val="32"/>
          <w:highlight w:val="none"/>
        </w:rPr>
      </w:pPr>
    </w:p>
    <w:p w14:paraId="0D89454E">
      <w:pPr>
        <w:shd w:val="clear"/>
        <w:snapToGrid w:val="0"/>
        <w:spacing w:line="520" w:lineRule="exact"/>
        <w:ind w:firstLine="640" w:firstLineChars="200"/>
        <w:rPr>
          <w:rFonts w:hint="eastAsia" w:ascii="Times New Roman" w:hAnsi="Times New Roman" w:eastAsia="仿宋" w:cs="仿宋"/>
          <w:sz w:val="32"/>
          <w:szCs w:val="32"/>
          <w:highlight w:val="none"/>
        </w:rPr>
      </w:pPr>
    </w:p>
    <w:p w14:paraId="0AA5E042">
      <w:pPr>
        <w:shd w:val="clear"/>
        <w:snapToGrid w:val="0"/>
        <w:spacing w:line="520" w:lineRule="exact"/>
        <w:ind w:firstLine="640" w:firstLineChars="200"/>
        <w:rPr>
          <w:rFonts w:hint="eastAsia" w:ascii="Times New Roman" w:hAnsi="Times New Roman" w:eastAsia="仿宋" w:cs="仿宋"/>
          <w:sz w:val="32"/>
          <w:szCs w:val="32"/>
          <w:highlight w:val="none"/>
        </w:rPr>
      </w:pPr>
    </w:p>
    <w:p w14:paraId="56DA9C28">
      <w:pPr>
        <w:shd w:val="clear"/>
        <w:snapToGrid w:val="0"/>
        <w:spacing w:line="520" w:lineRule="exact"/>
        <w:ind w:firstLine="640" w:firstLineChars="200"/>
        <w:rPr>
          <w:rFonts w:hint="eastAsia" w:ascii="Times New Roman" w:hAnsi="Times New Roman" w:eastAsia="仿宋" w:cs="仿宋"/>
          <w:sz w:val="32"/>
          <w:szCs w:val="32"/>
          <w:highlight w:val="none"/>
        </w:rPr>
      </w:pPr>
    </w:p>
    <w:p w14:paraId="3D875FCF">
      <w:pPr>
        <w:shd w:val="clear"/>
        <w:snapToGrid w:val="0"/>
        <w:spacing w:line="520" w:lineRule="exact"/>
        <w:ind w:firstLine="640" w:firstLineChars="200"/>
        <w:rPr>
          <w:rFonts w:hint="eastAsia" w:ascii="Times New Roman" w:hAnsi="Times New Roman" w:eastAsia="仿宋" w:cs="仿宋"/>
          <w:sz w:val="32"/>
          <w:szCs w:val="32"/>
          <w:highlight w:val="none"/>
        </w:rPr>
      </w:pPr>
    </w:p>
    <w:p w14:paraId="40F564DE">
      <w:pPr>
        <w:shd w:val="clear"/>
        <w:snapToGrid w:val="0"/>
        <w:spacing w:line="520" w:lineRule="exact"/>
        <w:ind w:firstLine="640" w:firstLineChars="200"/>
        <w:rPr>
          <w:rFonts w:hint="eastAsia" w:ascii="Times New Roman" w:hAnsi="Times New Roman" w:eastAsia="仿宋" w:cs="仿宋"/>
          <w:sz w:val="32"/>
          <w:szCs w:val="32"/>
          <w:highlight w:val="none"/>
        </w:rPr>
      </w:pPr>
    </w:p>
    <w:p w14:paraId="15574A32">
      <w:pPr>
        <w:shd w:val="clear"/>
        <w:snapToGrid w:val="0"/>
        <w:spacing w:line="520" w:lineRule="exact"/>
        <w:ind w:firstLine="640" w:firstLineChars="200"/>
        <w:rPr>
          <w:rFonts w:hint="eastAsia" w:ascii="Times New Roman" w:hAnsi="Times New Roman" w:eastAsia="仿宋" w:cs="仿宋"/>
          <w:sz w:val="32"/>
          <w:szCs w:val="32"/>
          <w:highlight w:val="none"/>
        </w:rPr>
      </w:pPr>
    </w:p>
    <w:p w14:paraId="2A589579">
      <w:pPr>
        <w:shd w:val="clear"/>
        <w:snapToGrid w:val="0"/>
        <w:spacing w:line="520" w:lineRule="exact"/>
        <w:ind w:firstLine="640" w:firstLineChars="200"/>
        <w:rPr>
          <w:rFonts w:hint="eastAsia" w:ascii="Times New Roman" w:hAnsi="Times New Roman" w:eastAsia="仿宋" w:cs="仿宋"/>
          <w:sz w:val="32"/>
          <w:szCs w:val="32"/>
          <w:highlight w:val="none"/>
        </w:rPr>
      </w:pPr>
    </w:p>
    <w:p w14:paraId="24898918">
      <w:pPr>
        <w:shd w:val="clear"/>
        <w:snapToGrid w:val="0"/>
        <w:spacing w:line="520" w:lineRule="exact"/>
        <w:ind w:firstLine="640" w:firstLineChars="200"/>
        <w:rPr>
          <w:rFonts w:hint="eastAsia" w:ascii="Times New Roman" w:hAnsi="Times New Roman" w:eastAsia="仿宋" w:cs="仿宋"/>
          <w:sz w:val="32"/>
          <w:szCs w:val="32"/>
          <w:highlight w:val="none"/>
        </w:rPr>
      </w:pPr>
    </w:p>
    <w:p w14:paraId="402C4770">
      <w:pPr>
        <w:shd w:val="clear"/>
        <w:snapToGrid w:val="0"/>
        <w:spacing w:line="520" w:lineRule="exact"/>
        <w:ind w:firstLine="640" w:firstLineChars="200"/>
        <w:rPr>
          <w:rFonts w:hint="eastAsia" w:ascii="Times New Roman" w:hAnsi="Times New Roman" w:eastAsia="仿宋" w:cs="仿宋"/>
          <w:sz w:val="32"/>
          <w:szCs w:val="32"/>
          <w:highlight w:val="none"/>
        </w:rPr>
      </w:pPr>
    </w:p>
    <w:tbl>
      <w:tblPr>
        <w:tblStyle w:val="9"/>
        <w:tblW w:w="109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7"/>
        <w:gridCol w:w="1207"/>
        <w:gridCol w:w="1254"/>
        <w:gridCol w:w="1532"/>
        <w:gridCol w:w="555"/>
        <w:gridCol w:w="2047"/>
        <w:gridCol w:w="2507"/>
        <w:gridCol w:w="707"/>
      </w:tblGrid>
      <w:tr w14:paraId="49B81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5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760D99">
            <w:pPr>
              <w:keepNext/>
              <w:keepLines w:val="0"/>
              <w:widowControl/>
              <w:suppressLineNumbers w:val="0"/>
              <w:snapToGrid w:val="0"/>
              <w:ind w:left="0" w:leftChars="0" w:right="0" w:rightChars="0" w:firstLine="0" w:firstLineChars="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《南京市中心医院2025年度部门整体绩效综合评价表》</w:t>
            </w:r>
          </w:p>
        </w:tc>
      </w:tr>
      <w:tr w14:paraId="42A3C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EFEF9">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274B6">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15ABF">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43FD2">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目标值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05219">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0C873">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指标说明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9B5C4">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评价要点</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088D">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自评得分</w:t>
            </w:r>
          </w:p>
        </w:tc>
      </w:tr>
      <w:tr w14:paraId="796B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17CA8B">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A部门决策（15分）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8A97C">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A1决策机制（5分）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71B5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A11决策制度的规范性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A5E3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86BC7">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0EAB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考察部门决策制度是否规范。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605D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①部门决策制度完整；②部门决策贯彻落实“三重一大”决策制度。以上2项符合条件得分，否则不得分。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49A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5266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A770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91210">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26DC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A12决策流程的科学性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89D7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246E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8006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考察部门决策流程是否科学。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1DC4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①部门决策流程是否明确清晰；②部门决策流程是否完整；③部门决策流程是否合理。以上3项各占1/3权重分，符合则得分，否则扣除对应权重分。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E9EB">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9E3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FDD3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1110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6AEE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A13决策执行监督制衡机制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A95F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122D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C233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考察部门决策执行是否有相应的监督制衡机制。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12FF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①部门决策有相应的监督制衡机制；②监督制衡机制明确有效。以上2项符合条件得分，否则不得分。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77B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360D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C926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EC2FA">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A2中长期规划（4分）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1CDB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A21中长期规划明确性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69A9F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明确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CFCB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8CC7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考察部门是否具有明确的中长期规划。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642A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①部门是否具有中长期规划；②规划是否对总体目标、规划实施内容、时间安排有明确安排。以上2项各占1/2权重分，符合得对应权重分，否则不得分。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2955">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4AD24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90D6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E5A9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2469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A22中长期规划与部门职能的匹配性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A28A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A322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3849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考察部门中长期规划是否与部门职能相匹配。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A48F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部门中长期规划中的各项规划是否均符合部门职能。符合条件得分，否则每有一项不符合扣10%权重分，扣完为止。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13B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B43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B19D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B1DBA">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A3年度工作计划（3分）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61F4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A31年度工作计划明确性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790D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明确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3E99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C3AE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考察2025年部门是否具有明确的年度工作计划。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19C5F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①是否制定年度工作计划；②年度计划是否有明确的时间安排；③年度计划是否有明确的人员安排；④年度计划是否有明确的资金安排。以上4项各占1/4权重分，符合得对应权重分，否则不得分。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C108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w:t>
            </w:r>
          </w:p>
        </w:tc>
      </w:tr>
      <w:tr w14:paraId="2673B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67B5F">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5372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0D54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A32年度工作计划与部门职能的匹配性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39FD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5F183">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20F1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考察部门年度工作计划是否与部门职能及部门规划相匹配。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B6F7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部门年度工作计划中的各项规划①是否均符合部门职能；②是否与部门和行业战略规划相匹配。以上2项各占1/2权重分，符合得对应权重分，否则不得分。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FDC3">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FFC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0FAED">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86E77">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A4部门预算编制（3分）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BDF3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A41预算编制科学规范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5A15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科学、规范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098D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5D31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考察预算编制（含基本支出和项目支出）是否“科学”衡量制度设计、“规范”衡量流程执行。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3BEF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部门预算编制完整，如涉及子项目，子项目列示清晰；②预算依据充分，即数量测算依据明确、科学、合理，单价标准来源准确；③预算与绩效目标相匹配。以上3项各占1/3权重分，符合则得分，否则扣除对应权重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E57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EEC0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66A1A">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B7127">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7469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A42预算编制与重点工作任务的匹配性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B657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86D7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213F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考察预算编制是否与2025年部门重点工作任务相匹配。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C5BD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预算编制是否符合2025年部门重点工作任务。符合条件得分，否则每有一项不符合扣10%权重分，扣完为止。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57C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989A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9C0CD">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B管理效率（18分）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B0D90">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B1预算执行（2分）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83B0A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B11部门预算执行率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CE69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97C86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2D07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考察2025年部门预算（含基本支出和项目支出）的执行情况。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93A5D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预算执行率=（实际支出额/预算资金总额）×100%。①基本支出预算执行率；②项目支出预算执行率。以上两项各占50%权重分，得到100%得对应权重分，否则每降低1%扣1%权重分，扣完为止。</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623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3B98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FC23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F1266">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291AA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B12预决算信息公开情况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CB2A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3840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4ACD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考察预决算信息是否在“双平台”进行公开，内容和时限是否符合要求。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888F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①预决算信息在江苏省预决算公开统一平台和部门门户网站公开；②按规定时限公开预决算信息。以上2项各占1/2权重分，符合得对应权重分，否则不得分。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35FB">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751C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B682C">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5F27F">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B2收支管理（3分）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B8763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B21收支管理制度健全性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E40D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健全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66F73E">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7139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考察部门的收支管理制度是否健全完整，是否执行到位。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4A82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是否有适用的部门收支管理制度；②收支管理制度符合相关法律法规如《中华人民共和国预算法》、《中华人民共和国会计法》的要求，内容包括收入管理、支出管理等方面。以上2项各占1/2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C0D7">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83A2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B4861">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F39CC">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967E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B22收支管理规范性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7B4C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7CE3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0C1C9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考察部门2025年收支管理是否规范。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33A7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①部门收支管理按照收支管理制度执行；②收支管理程序明确、清晰；③收支管理有专人负责。以上3项各占1/3权重分，符合得对应权重分，否则不得分。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849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5ABE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854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B97DE">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B3资产管理（3分）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CC41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B31资产管理制度健全性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A22C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健全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971C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9E0C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考察部门为加强资产管理、规范资产管理行为而制定的管理制度是否健全完整，用以反映和考核部门资产管理制度对完成主要职责或促进社会发展的保障情况。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56D6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是否有适用的资产管理制度；②相关资产管理制度是否合法、合规、完整；③资产管理制度中对资产配置、资产使用、资产处置、资产清查等方面进行全面规定。以上3项各占1/3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7E5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180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55376">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EF37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7BC0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B32资产管理规范性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336E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0AC0EB">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861E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考察部门2025年资产管理是否规范。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1E73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①资产管理按照制度进行配置、使用、处置、清查等；②资产管理有专人负责。以上2项各占1/2权重分，符合得对应权重分，否则不得分。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C54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58D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02FA1">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07B0F">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B4政府采购管理（3分）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5EFC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B41政府采购管理制度健全性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175F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健全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563B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38B6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考察部门为加强采购管理、规范采购管理行为而制定的管理制度是否健全完整，用以反映和考核采购管理制度对完成主要职责或促进社会发展的保障情况。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DE04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①是否有适用的政府采购管理制度；②相关采购管理制度是否合法、合规、完整；③政府采购管理制度中对采购程序等方面进行全面规定。以上3项各占1/3权重分，符合得对应权重分，否则不得分。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BCA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BF6A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93E36">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4B25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8D97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B42政府采购规范性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5C78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DCD6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B437C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考察部门2025年采购购买服务等是否规范。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E786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是否严格按照政府集中采购目录及政府采购限额标准执行；②是否严格按照主管部门及当地政策要求的采购程序执行；③是否按规定签订合同，且明确双方责任。以上3项各占1/3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B66C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AEB3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BC60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BC3CE">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B5内部控制管理（3分）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4CC4D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B51内部控制建设情况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EE7A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健全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332C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8B39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考察部门是否有内部控制制度落实在手册等文本上。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1C59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部门有内部控制制度落实在手册等文本上，符合得对应权重分，否则不得分。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1B53">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5C35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1FE8F">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B655">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6FF2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B52内部控制执行情况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A08D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E6405">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8EC0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考察部门内控控制执行是否有效。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C186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①是否根据内控制度执行相关决策；②通过内控有效提升了部门决策效果。以上2项各占1/2权重分，符合得对应权重分，否则不得分。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DEC5">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907C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134F1">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9BE8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4772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B53内部控制监督评价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0004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85B41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7198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考察部门是否有单位内部内控评价报告。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8072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部门有单位内部内控评价报告，符合得对应权重分，否则不得分。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2417">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D06D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8592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2102D4">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B6预算绩效管理（4分）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8783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B61组织管理情况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A895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健全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3883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8CFC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考察部门的组织管理情况。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EE4E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部门组织管理是否有制度建设、职能或者明确到责任人、分行业的指标体系。以上3项各占1/3权重分，符合得对应权重分，否则不得分。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53EE">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FFBD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9F640">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352BF">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C00A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B62工作开展情况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8615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有序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58887">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D060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考察部门专项是否有开展事前评估、目标管理、跟踪评价、自评价和整改落实。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19A0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部门专项是否有开展事前评估、目标管理、跟踪评价、自评价和整改落实。以上5项各占1/5权重分，符合得对应权重分，否则不得分。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18E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0.6</w:t>
            </w:r>
          </w:p>
        </w:tc>
      </w:tr>
      <w:tr w14:paraId="6A40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9555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CD6D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C221E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B63绩效信息公开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1F75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公开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5B73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F6C8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考察部门绩效信息是否按照规定的内容和时限在“双平台”进行公开。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6B80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①部门绩效信息在江苏省预决算公开统一平台和部门门户网站公开；②按规定时限公开部门绩效信息。以上2项各占1/2权重分，符合得对应权重分，否则不得分。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129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303C7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E1F1264">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C履职效能（37分）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74664">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C1落实公立医院改革（13分）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EE48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C11着力加强医疗质量和医疗安全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C089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阶段性完成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7F6F3">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B837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考察是否着力加强医疗质量和医疗安全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6319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根据加强医疗质量和医疗安全实际达成情况，分为好、较好、一般、较差、差五档，在对应分值的100%、100%-80%（含）、80%-60%（含）、60%-40%（含）、40%-0%范围内合理确定分值。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680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6FBE1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F7251BA">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A175D">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A397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C12着力改善护理管理和护理服务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91FE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阶段性完成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589DE">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499B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考察是否着力改善护理管理和护理服务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17FA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根据改善护理管理和护理服务实际达成情况，分为好、较好、一般、较差、差五档，在对应分值的100%、100%-80%（含）、80%-60%（含）、60%-40%（含）、40%-0%范围内合理确定分值。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CF9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2E34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3FDB7E">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F489B">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3CB3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C13做深做细医联体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7715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阶段性完成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7CC5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DD0D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考察是否做深做细医联体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ADFD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根据做深做细医联体实际达成情况，分为好、较好、一般、较差、差五档，在对应分值的100%、100%-80%（含）、80%-60%（含）、60%-40%（含）、40%-0%范围内合理确定分值。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722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6FA52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DB4739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876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0B54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C14强化合理用药监管，科学控制医疗费用不合理增长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B3AA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阶段性完成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F60AB">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9864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考察是否做到用药监管以及科学控制医疗费用不合理增长。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82C5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根据用药监管以及科学控制医疗费用不合理增长实际达成情况，分为好、较好、一般、较差、差五档，在对应分值的100%、100%-80%（含）、80%-60%（含）、60%-40%（含）、40%-0%范围内合理确定分值。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C82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4AA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519A457">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8C367">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C2医疗专用设备购置（2分）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7EC9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C21按照计划清单购买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D264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D575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F452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考察医疗专用设备购置购买情况。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E24C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计划购置61件医疗专用设备，全部购置完成得满分，否则不得分。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5FF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574F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8E5A417">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69E1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EF90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C22 12月底前完成采购任务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9525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F67CB">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9DF9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考察医疗专用设备购置及时情况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72E6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计划12月底前购置61件医疗专用设备，全部及时购置完成得满分，否则不得分。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16A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1829F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D46A7A6">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E69A8">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C3党建工作情况（3分）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126D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C31强化政治建设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D477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1955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4172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考察强化政治建设党建工作情况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8331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根据强化政治建设实际达成情况，分为好、较好、一般、较差、差五档，在对应分值的100%、100%-80%（含）、80%-60%（含）、60%-40%（含）、40%-0%范围内合理确定分值。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584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01A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60CAA80">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6EFD">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A52F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C32抓好支部建设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9B0C2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5E0D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1F63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考察抓好支部建设党建工作情况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CC19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根据抓好支部建设实际达成情况，分为好、较好、一般、较差、差五档，在对应分值的100%、100%-80%（含）、80%-60%（含）、60%-40%（含）、40%-0%范围内合理确定分值。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A6E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CD9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2EA25B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1121E">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BE44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C33抓牢思想根基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8B61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D133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B45D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考察抓好思想根基党建工作情况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1F09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根据抓牢思想根基实际达成情况，分为好、较好、一般、较差、差五档，在对应分值的100%、100%-80%（含）、80%-60%（含）、60%-40%（含）、40%-0%范围内合理确定分值。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411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BC2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281A36D">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402197A">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C4医疗服务能力（5分）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4723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C41三级老年病医院功能定位落实</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F829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达标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B496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F346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围绕老年患者健康需求，落实“预防—诊治—康复—养老”一站式综合诊疗服务体系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C7E5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根据老年病防治研究中心2025年12月正式投入使用实际达成情况，分为好、较好、一般、较差、差五档，在对应分值的100%、100%-80%（含）、80%-60%（含）、60%-40%（含）、40%-0%范围内合理确定分值。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49C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C970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81425A5">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57340C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617D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C42老年健康服务体系完善度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2245C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E961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AC3D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考察涵盖健康教育、预防保健、疾病诊治、康复护理、长期照护、安宁疗护等服务链条的完善程度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D714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根据2025年深化医养结合服务实际达成情况，分为好、较好、一般、较差、差五档，在对应分值的100%、100%-80%（含）、80%-60%（含）、60%-40%（含）、40%-0%范围内合理确定分值。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943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78BB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1ECE210">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C1C6DB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BA84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C43手术量增长率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CA0B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A4B13">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A630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考察年度手术量较上年增长情况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B6B2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各级各类手术同比增长率≥10%，得满分，否则不得分。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644C">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145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0DC5EE5">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6117CB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8BEC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C44 CMI值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D378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EF57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A7C7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考察病例组合指数，反映收治疾病技术难度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95C0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医院CMI值高于同级10%，得满分，否则不得分。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430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BF2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106A025">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495C8B3">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D9D25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C45医疗技术应用创新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42ED7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开展新技术≥10项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1A0A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A124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考察新技术新项目引进和应用情况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BD93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开展医疗新技术≥10项，得满分，否则不得分。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B05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4FB0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0604F4E">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80BDD">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C5医疗质量与安全（3分）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86A7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C51医疗质量核心指标达标率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72D2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200F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034B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考察药品占比、耗材占比等指标控制在目标范围内，确保医疗质量持续提升情况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95A5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药品占比、耗材占比等指标控制在目标范围内得满分，每发现一项不符合，扣0.5分。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17C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0.5</w:t>
            </w:r>
          </w:p>
        </w:tc>
      </w:tr>
      <w:tr w14:paraId="50D9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C57C48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5802D">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EFC3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C52 DRG结算率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F933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3023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CC92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考察医保DRG结算率是否达标，体现医保基金使用效率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D7F0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各级各类手术同比增长率≥10%，得满分，否则不得分。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007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A66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585E65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D2EB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CA03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C53手术质量与安全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BA84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持续提升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334D3">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23E3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考察手术量稳步增长，高难度手术能力提升情况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37BE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手术量稳步增长得满分，否则按比例扣分。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352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681D5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03FA7C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4190FFF">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C6对外合作与学科建设（4分）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9858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C61医联体合作成效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BC3D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达标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5EA85">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EC4D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考察与高水平医院建立实质性合作关系，推动优质医疗资源下沉情况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96E3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根据与高水平医院实质性合作实际达成情况，分为好、较好、一般、较差、差五档，在对应分值的100%、100%-80%（含）、80%-60%（含）、60%-40%（含）、40%-0%范围内合理确定分值。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792E7">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C0D2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2D8ECDC">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E72E6B">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B6F2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C62医联体协同服务效能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EB73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达标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88587">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00AF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考察实现与基层医疗机构双向转诊畅通，带动区域医养结合服务能级提升情况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6BBE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根据与基层医疗机构双向转诊畅通实际达成情况，分为好、较好、一般、较差、差五档，在对应分值的100%、100%-80%（含）、80%-60%（含）、60%-40%（含）、40%-0%范围内合理确定分值。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DCE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18BB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CCB129F">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2B4FFA1">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CA54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C63重点专科建设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A4D13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新增或入围省级重点专科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0BC8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62F6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考察临床重点专科建设取得阶段性突破情况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03C2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根据重点专科建设实际达成情况，分为好、较好、一般、较差、差五档，在对应分值的100%、100%-80%（含）、80%-60%（含）、60%-40%（含）、40%-0%范围内合理确定分值。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047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0521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8174AA">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253B4CE">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B63F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C64科研课题立项数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6143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D0645">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F9C1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考察年度各级科研课题立项数量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721AF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全年立项课题≥10项，得满分，否则不得分。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B52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273D8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71CCCF3">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C867A">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C7中医与老年特色服务（3分）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8517D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C71中医适宜技术推广应用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15C3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推广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63BCB">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B648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考察推广中医适宜技术，提升中医药在老年疾病防治中的应用情况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D839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根据推广中医适宜技术实际达成情况，分为好、较好、一般、较差、差五档，在对应分值的100%、100%-80%（含）、80%-60%（含）、60%-40%（含）、40%-0%范围内合理确定分值。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E80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17A2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005EDC1">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287D0">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B81A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C72医养结合服务覆盖率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2453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FC39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5F4C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考察探索医养结合服务模式，拓展服务覆盖面情况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15C3F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根据试点免陪照护服务人次实际达成情况，分为好、较好、一般、较差、差五档，在对应分值的100%、100%-80%（含）、80%-60%（含）、60%-40%（含）、40%-0%范围内合理确定分值。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69BC">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843A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9F5EB2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D04BA">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BD55F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C73老年医养服务标准化建设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3247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达标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E1E4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94B3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考察参与老年医养服务标准制定或经验推广情况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FAEB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根据医养结合领域的经验做法是否被推广情况，分为好、较好、一般、较差、差五档，在对应分值的100%、100%-80%（含）、80%-60%（含）、60%-40%（含）、40%-0%范围内合理确定分值。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726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D66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9BBC70C">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F55C3">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C8智慧医院建设（2分）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B807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C81信息化建设达标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A713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通过国家相关等级评审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10DD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0258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考察电子病历等级测评、互联互通标准化成熟度测评达标情况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CD93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根据电子病历等级测评、互联互通标准化成熟度测评达标情况，分为好、较好、一般、较差、差五档，在对应分值的100%、100%-80%（含）、80%-60%（含）、60%-40%（含）、40%-0%范围内合理确定分值。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4C8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40FB7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A34EFC">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E439D">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A796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C82 HRP系统建设与应用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609C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运行稳定、数据完整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7896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E737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考察医院资源规划（HRP）系统成本核算模块上线运行情况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1FB7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根据医院资源规划（HRP）系统成本核算模块上线运行情况，分为好、较好、一般、较差、差五档，在对应分值的100%、100%-80%（含）、80%-60%（含）、60%-40%（含）、40%-0%范围内合理确定分值。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367E">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6E9B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F0BD989">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D2231">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C9重大专项落实（2分）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78AEC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C91老年病防治研究中心建设与启用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40F1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按期投入使用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EB84E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D7F5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考察市委市政府重点民生实事项目建设进度和启用效果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0B34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根据老年病防治研究中心建设与启用落实情况，分为好、较好、一般、较差、差五档，在对应分值的100%、100%-80%（含）、80%-60%（含）、60%-40%（含）、40%-0%范围内合理确定分值。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C41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0392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765CFF3">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6BBAF">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6C51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C92院史馆建设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7E9E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2B7AF">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1B37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考察院史馆建设进度与质量情况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497B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根据院史馆建设及科室搬迁完成情况，分为好、较好、一般、较差、差五档，在对应分值的100%、100%-80%（含）、80%-60%（含）、60%-40%（含）、40%-0%范围内合理确定分值。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4B9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707F3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DA1C6">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D社会效应（18分）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707B1">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D1社会效益（8分）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619D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D11为社会公众提供更加优质的医疗服务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2FE2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B36A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622E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考察是否为社会公众提供更加优质的医疗服务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8F23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根据为社会公众提供更加优质的医疗服务实际达成情况，分为好、较好、一般、较差、差五档，在对应分值的100%、100%-80%（含）、80%-60%（含）、60%-40%（含）、40%-0%范围内合理确定分值。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93D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27119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1103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EABBB">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54CF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D13老年医疗服务普及性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827B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持续提升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8109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8AB2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考察老年人获得医疗服务的普及程度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28BA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根据老年病防治研究中心启用后使用情况，分为好、较好、一般、较差、差五档，在对应分值的100%、100%-80%（含）、80%-60%（含）、60%-40%（含）、40%-0%范围内合理确定分值。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DDF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0485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B3667">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98845">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56C7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D14临床重点专科建设成效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18E1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新增或入围省级重点专科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EC826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DACB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考察临床重点专科获评或入围情况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F9AE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根据科室入围省级重点专科现场评的实际达成情况，分为好、较好、一般、较差、差五档，在对应分值的100%、100%-80%（含）、80%-60%（含）、60%-40%（含）、40%-0%范围内合理确定分值。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535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E9FA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F7984">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44E2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8893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D15荣誉与认证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6142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获评国家级标准示范中心或荣誉称号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C036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F7CE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考察国家级标准化示范中心建设、学科认证与荣誉获评情况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975C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根据考察国家级标准化示范中心建设、学科认证与荣誉获评情况，分为好、较好、一般、较差、差五档，在对应分值的100%、100%-80%（含）、80%-60%（含）、60%-40%（含）、40%-0%范围内合理确定分值。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59D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06E5F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6A19A">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9331B">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D2经济效益（10分）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F299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D21业务收入增长率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A9F3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BC3F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EFC8C3">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考察年度业务收入增长情况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04F1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业务收入同比增长≥2%，得满分，否则不得分。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6F9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3EA3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4E95F">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03B07">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73D3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D22总控费降本增效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950A7">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采购成本节约、耗材支出降低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F6A7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D03E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考察通过成本控制和谈判节约采购成本情况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6424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根据节约成本的实际达成情况，分为好、较好、一般、较差、差五档，在对应分值的100%、100%-80%（含）、80%-60%（含）、60%-40%（含）、40%-0%范围内合理确定分值。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D16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r>
      <w:tr w14:paraId="57A15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4D8E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E4B6B">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3EAE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D23医院总收入增长率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8FC9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4947D">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7A73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考察年度医院总收入增长情况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FE3D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医院总收入增长率≥5%，得满分，否则不得分。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BCF5">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AAE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58D0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FB1EF">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AB7B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D24医疗服务收入增长率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0BC9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D9FBA">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47AB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考察医疗服务性收入增长情况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5B3A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医疗服务收入增长率≥5%，得满分，否则不得分。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53B6">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A60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BD5D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F269E">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68DA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D25医养中心业务收入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4686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持续增长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7BB43">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E792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考察医养结合相关服务业务收入增长情况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202A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根据医养中心收入实际增长情况，分为好、较好、一般、较差、差五档，在对应分值的100%、100%-80%（含）、80%-60%（含）、60%-40%（含）、40%-0%范围内合理确定分值。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B61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3AE0D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4595C">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E可持续发展能力（8分）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3FA13">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E1人才培养任务（2分）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7579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E11招聘高层次人才及专技人员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71881">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有效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2C7AB">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24B6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考察是否招聘到人才及定期考核情况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CBC4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①是否招聘到高层次人才及专技人员；②是否给予</w:t>
            </w:r>
            <w:bookmarkStart w:id="14" w:name="_GoBack"/>
            <w:bookmarkEnd w:id="14"/>
            <w:r>
              <w:rPr>
                <w:rFonts w:hint="eastAsia" w:ascii="仿宋" w:hAnsi="仿宋" w:eastAsia="仿宋" w:cs="仿宋"/>
                <w:i w:val="0"/>
                <w:iCs w:val="0"/>
                <w:color w:val="000000"/>
                <w:kern w:val="0"/>
                <w:sz w:val="22"/>
                <w:szCs w:val="22"/>
                <w:u w:val="none"/>
                <w:lang w:val="en-US" w:eastAsia="zh-CN" w:bidi="ar"/>
              </w:rPr>
              <w:t>职工定期进修培训的机会；③是否定期组织青年人才年度考核工作。以上3项各占1/3权重分，符合得对应权重分，否则不得分。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ECF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78D86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0F7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17731">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E2高质量发展规划（6分）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5E82D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E21三级甲等老年病医院创建推进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4E63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按计划推进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7DE41">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B6290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考察对标三级甲等老年病医院标准建设情况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D200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根据冲刺三级甲等老年病医院创建情况，分为好、较好、一般、较差、差五档，在对应分值的100%、100%-80%（含）、80%-60%（含）、60%-40%（含）、40%-0%范围内合理确定分值。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E5CC">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r>
      <w:tr w14:paraId="51E6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26BDC">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399B2">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898C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E22附属医院建设推进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0603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按计划推进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C44B2">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72A9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考察与医学院校合作共建附属医院情况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373FF">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根据与医学院校合作共建附属医院实际完成情况，分为好、较好、一般、较差、差五档，在对应分值的100%、100%-80%（含）、80%-60%（含）、60%-40%（含）、40%-0%范围内合理确定分值。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6C7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107DD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45F28">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27AC3">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536F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E23学科科研平台建设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574A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持续推进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342E8">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5B13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考察重点实验室、研究型病房等科研平台建设情况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4A02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根据重点实验室、研究型病房等科研平台建设达成情况，分为好、较好、一般、较差、差五档，在对应分值的100%、100%-80%（含）、80%-60%（含）、60%-40%（含）、40%-0%范围内合理确定分值。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DFC0">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r>
      <w:tr w14:paraId="54099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4217D">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F服务对象满意度（4分）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717F5">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F1服务对象满意度（4分）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B881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D11服务对象满意度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504E7A">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1C75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D32B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考察患者和社会公众对医院服务的满意度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36344">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满意度达到100%得满分，0%得0分，其余情况得分=分值-(100%-满意度)x2x分值，得分不低于0分。</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BA29">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r>
      <w:tr w14:paraId="1299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4313">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47F6">
            <w:pPr>
              <w:keepNext/>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82E2">
            <w:pPr>
              <w:keepNext/>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1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8864">
            <w:pPr>
              <w:keepNext/>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F754">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20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1DE8">
            <w:pPr>
              <w:keepNext/>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2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FA71">
            <w:pPr>
              <w:keepNext/>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042E">
            <w:pPr>
              <w:keepNext/>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95.2</w:t>
            </w:r>
          </w:p>
        </w:tc>
      </w:tr>
    </w:tbl>
    <w:p w14:paraId="595F8CDF">
      <w:pPr>
        <w:shd w:val="clear"/>
        <w:snapToGrid w:val="0"/>
        <w:spacing w:line="520" w:lineRule="exact"/>
        <w:ind w:firstLine="640" w:firstLineChars="200"/>
        <w:rPr>
          <w:rFonts w:hint="eastAsia" w:ascii="Times New Roman" w:hAnsi="Times New Roman" w:eastAsia="仿宋" w:cs="仿宋"/>
          <w:sz w:val="32"/>
          <w:szCs w:val="32"/>
          <w:highlight w:val="none"/>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41F35">
    <w:pPr>
      <w:spacing w:line="235" w:lineRule="auto"/>
      <w:ind w:left="3861"/>
      <w:rPr>
        <w:rFonts w:ascii="宋体" w:hAnsi="宋体" w:eastAsia="宋体" w:cs="宋体"/>
        <w:sz w:val="28"/>
        <w:szCs w:val="28"/>
      </w:rPr>
    </w:pPr>
    <w:r>
      <w:rPr>
        <w:sz w:val="2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6C7BC1A">
                <w:pPr>
                  <w:pStyle w:val="6"/>
                </w:pPr>
                <w:r>
                  <w:fldChar w:fldCharType="begin"/>
                </w:r>
                <w:r>
                  <w:instrText xml:space="preserve"> PAGE  \* MERGEFORMAT </w:instrText>
                </w:r>
                <w:r>
                  <w:fldChar w:fldCharType="separate"/>
                </w:r>
                <w:r>
                  <w:t>- 1 -</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B91290"/>
    <w:multiLevelType w:val="singleLevel"/>
    <w:tmpl w:val="C2B91290"/>
    <w:lvl w:ilvl="0" w:tentative="0">
      <w:start w:val="2"/>
      <w:numFmt w:val="decimal"/>
      <w:lvlText w:val="（%1)"/>
      <w:lvlJc w:val="left"/>
      <w:pPr>
        <w:tabs>
          <w:tab w:val="left" w:pos="618"/>
        </w:tabs>
        <w:ind w:left="0" w:firstLine="53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YWVkZTdjNTE4NGE3MzNjZmFjMTYyYjlkYzJmMjlkYWUifQ=="/>
  </w:docVars>
  <w:rsids>
    <w:rsidRoot w:val="6891009F"/>
    <w:rsid w:val="000A2442"/>
    <w:rsid w:val="000F09EC"/>
    <w:rsid w:val="00134CBE"/>
    <w:rsid w:val="00165EDC"/>
    <w:rsid w:val="002949EC"/>
    <w:rsid w:val="003F093E"/>
    <w:rsid w:val="00445335"/>
    <w:rsid w:val="00483946"/>
    <w:rsid w:val="00507AD6"/>
    <w:rsid w:val="00525F1A"/>
    <w:rsid w:val="005668B9"/>
    <w:rsid w:val="005D4FD2"/>
    <w:rsid w:val="00623FFB"/>
    <w:rsid w:val="006430DA"/>
    <w:rsid w:val="00645B66"/>
    <w:rsid w:val="00667A02"/>
    <w:rsid w:val="0070581F"/>
    <w:rsid w:val="0079169B"/>
    <w:rsid w:val="008E624C"/>
    <w:rsid w:val="008F59DD"/>
    <w:rsid w:val="00930D71"/>
    <w:rsid w:val="00947733"/>
    <w:rsid w:val="00955949"/>
    <w:rsid w:val="00A36CC5"/>
    <w:rsid w:val="00BC7F40"/>
    <w:rsid w:val="00BE52B7"/>
    <w:rsid w:val="00CC6C5B"/>
    <w:rsid w:val="00DF1A89"/>
    <w:rsid w:val="00E201FF"/>
    <w:rsid w:val="00E459E8"/>
    <w:rsid w:val="00EE5DD1"/>
    <w:rsid w:val="00F6185E"/>
    <w:rsid w:val="00F637AF"/>
    <w:rsid w:val="026B3007"/>
    <w:rsid w:val="02A83E19"/>
    <w:rsid w:val="03525F75"/>
    <w:rsid w:val="04D56CA0"/>
    <w:rsid w:val="04FE13F4"/>
    <w:rsid w:val="0583726B"/>
    <w:rsid w:val="067374EC"/>
    <w:rsid w:val="069D4626"/>
    <w:rsid w:val="06FE0CE2"/>
    <w:rsid w:val="074C1BA9"/>
    <w:rsid w:val="0756774E"/>
    <w:rsid w:val="07A9785F"/>
    <w:rsid w:val="07DB21CB"/>
    <w:rsid w:val="07DC17EF"/>
    <w:rsid w:val="085C6A46"/>
    <w:rsid w:val="08744D38"/>
    <w:rsid w:val="0909677B"/>
    <w:rsid w:val="095212C9"/>
    <w:rsid w:val="09D26A24"/>
    <w:rsid w:val="0A7B1525"/>
    <w:rsid w:val="0AE04FBF"/>
    <w:rsid w:val="0B597776"/>
    <w:rsid w:val="0B7C1104"/>
    <w:rsid w:val="0BE24BEF"/>
    <w:rsid w:val="0CA02731"/>
    <w:rsid w:val="0D505471"/>
    <w:rsid w:val="0D5B28B1"/>
    <w:rsid w:val="0D7E1B03"/>
    <w:rsid w:val="0E7C43F9"/>
    <w:rsid w:val="0EB773D8"/>
    <w:rsid w:val="0EE32DC1"/>
    <w:rsid w:val="0FDF3286"/>
    <w:rsid w:val="10695463"/>
    <w:rsid w:val="10CA6DED"/>
    <w:rsid w:val="119B75E2"/>
    <w:rsid w:val="13753589"/>
    <w:rsid w:val="13837718"/>
    <w:rsid w:val="14024625"/>
    <w:rsid w:val="14894F33"/>
    <w:rsid w:val="14A567E1"/>
    <w:rsid w:val="14CC336A"/>
    <w:rsid w:val="152864CC"/>
    <w:rsid w:val="154F2CC9"/>
    <w:rsid w:val="15816B1D"/>
    <w:rsid w:val="168E1562"/>
    <w:rsid w:val="16B00E51"/>
    <w:rsid w:val="17D15079"/>
    <w:rsid w:val="18793F26"/>
    <w:rsid w:val="19AD5CA7"/>
    <w:rsid w:val="19E96131"/>
    <w:rsid w:val="1A715B58"/>
    <w:rsid w:val="1B9D2D43"/>
    <w:rsid w:val="1BD733C1"/>
    <w:rsid w:val="1CA31716"/>
    <w:rsid w:val="1CC02E08"/>
    <w:rsid w:val="1CD81236"/>
    <w:rsid w:val="1CD81789"/>
    <w:rsid w:val="1CFB2A86"/>
    <w:rsid w:val="1D60592F"/>
    <w:rsid w:val="1DD97A7F"/>
    <w:rsid w:val="1E1D2671"/>
    <w:rsid w:val="1E2F7628"/>
    <w:rsid w:val="1EBE34B9"/>
    <w:rsid w:val="1F0139B6"/>
    <w:rsid w:val="1F100670"/>
    <w:rsid w:val="1F776494"/>
    <w:rsid w:val="1F8218C3"/>
    <w:rsid w:val="1FF51022"/>
    <w:rsid w:val="201417A1"/>
    <w:rsid w:val="20827A42"/>
    <w:rsid w:val="20C427DB"/>
    <w:rsid w:val="20FE4A99"/>
    <w:rsid w:val="210448FA"/>
    <w:rsid w:val="2164788B"/>
    <w:rsid w:val="2183613D"/>
    <w:rsid w:val="23F761F1"/>
    <w:rsid w:val="25BB136A"/>
    <w:rsid w:val="26244A4E"/>
    <w:rsid w:val="26732897"/>
    <w:rsid w:val="26B55809"/>
    <w:rsid w:val="27214BCD"/>
    <w:rsid w:val="27644BFD"/>
    <w:rsid w:val="276C1660"/>
    <w:rsid w:val="2859234E"/>
    <w:rsid w:val="287E64FF"/>
    <w:rsid w:val="28A57AE8"/>
    <w:rsid w:val="28B15A09"/>
    <w:rsid w:val="29D67695"/>
    <w:rsid w:val="2A581813"/>
    <w:rsid w:val="2A630207"/>
    <w:rsid w:val="2AF12D17"/>
    <w:rsid w:val="2B251407"/>
    <w:rsid w:val="2C8C5AA8"/>
    <w:rsid w:val="2D086FCF"/>
    <w:rsid w:val="2D4F20AF"/>
    <w:rsid w:val="2E4E3659"/>
    <w:rsid w:val="2E7454DA"/>
    <w:rsid w:val="2EA36257"/>
    <w:rsid w:val="2EE66327"/>
    <w:rsid w:val="30591930"/>
    <w:rsid w:val="30E958BB"/>
    <w:rsid w:val="3123557E"/>
    <w:rsid w:val="31460358"/>
    <w:rsid w:val="32676A97"/>
    <w:rsid w:val="327D62BB"/>
    <w:rsid w:val="331C0EE6"/>
    <w:rsid w:val="346C1709"/>
    <w:rsid w:val="346F4246"/>
    <w:rsid w:val="34EA2473"/>
    <w:rsid w:val="35611EC4"/>
    <w:rsid w:val="356F3D6B"/>
    <w:rsid w:val="35C20C5F"/>
    <w:rsid w:val="36B64F8F"/>
    <w:rsid w:val="37A32E95"/>
    <w:rsid w:val="38284F1B"/>
    <w:rsid w:val="38993A72"/>
    <w:rsid w:val="389A33CF"/>
    <w:rsid w:val="397E649C"/>
    <w:rsid w:val="39D20072"/>
    <w:rsid w:val="39D469DE"/>
    <w:rsid w:val="3A4E2999"/>
    <w:rsid w:val="3CD565DD"/>
    <w:rsid w:val="3D143B86"/>
    <w:rsid w:val="3DA37E70"/>
    <w:rsid w:val="3DB809DB"/>
    <w:rsid w:val="3E3F615B"/>
    <w:rsid w:val="3E5D7BEC"/>
    <w:rsid w:val="3E934DDB"/>
    <w:rsid w:val="3E946E66"/>
    <w:rsid w:val="3EC05668"/>
    <w:rsid w:val="41021D6F"/>
    <w:rsid w:val="413A2C04"/>
    <w:rsid w:val="41E302A1"/>
    <w:rsid w:val="42361957"/>
    <w:rsid w:val="423A0ED3"/>
    <w:rsid w:val="42D0267B"/>
    <w:rsid w:val="43865B74"/>
    <w:rsid w:val="4421045D"/>
    <w:rsid w:val="44F763A1"/>
    <w:rsid w:val="45B204A0"/>
    <w:rsid w:val="45D222B4"/>
    <w:rsid w:val="4652568E"/>
    <w:rsid w:val="47303395"/>
    <w:rsid w:val="477D4D49"/>
    <w:rsid w:val="47F46BC7"/>
    <w:rsid w:val="48416D65"/>
    <w:rsid w:val="486B27D2"/>
    <w:rsid w:val="49800F4A"/>
    <w:rsid w:val="49DA4F75"/>
    <w:rsid w:val="4AAF7466"/>
    <w:rsid w:val="4B3D19A4"/>
    <w:rsid w:val="4C110EC3"/>
    <w:rsid w:val="4C7D152D"/>
    <w:rsid w:val="4CBA5A7C"/>
    <w:rsid w:val="4D790246"/>
    <w:rsid w:val="4DA61B08"/>
    <w:rsid w:val="4DE04400"/>
    <w:rsid w:val="4E235B10"/>
    <w:rsid w:val="4E260FA3"/>
    <w:rsid w:val="4F1C2A36"/>
    <w:rsid w:val="4F726343"/>
    <w:rsid w:val="4FA170F3"/>
    <w:rsid w:val="508730BA"/>
    <w:rsid w:val="50E963C7"/>
    <w:rsid w:val="51574950"/>
    <w:rsid w:val="51A927D1"/>
    <w:rsid w:val="52195DD9"/>
    <w:rsid w:val="525D5B35"/>
    <w:rsid w:val="52AA302D"/>
    <w:rsid w:val="53027221"/>
    <w:rsid w:val="530F3EBA"/>
    <w:rsid w:val="53893958"/>
    <w:rsid w:val="557751BF"/>
    <w:rsid w:val="558B6EAE"/>
    <w:rsid w:val="56112E27"/>
    <w:rsid w:val="56243AFC"/>
    <w:rsid w:val="56B060A5"/>
    <w:rsid w:val="56D74E03"/>
    <w:rsid w:val="57B40306"/>
    <w:rsid w:val="586A4A9C"/>
    <w:rsid w:val="58A74257"/>
    <w:rsid w:val="58B612BA"/>
    <w:rsid w:val="59324691"/>
    <w:rsid w:val="595E1AA7"/>
    <w:rsid w:val="5A0E69B6"/>
    <w:rsid w:val="5A6E75A2"/>
    <w:rsid w:val="5B6A1C13"/>
    <w:rsid w:val="5BC64B0E"/>
    <w:rsid w:val="5C803794"/>
    <w:rsid w:val="5CDA5E77"/>
    <w:rsid w:val="5D1D0BC9"/>
    <w:rsid w:val="5DEE4384"/>
    <w:rsid w:val="5E9D2112"/>
    <w:rsid w:val="5EBA4511"/>
    <w:rsid w:val="5EBF32EC"/>
    <w:rsid w:val="5EEE4CA0"/>
    <w:rsid w:val="5F0A3F71"/>
    <w:rsid w:val="5F5B1F1B"/>
    <w:rsid w:val="5F5E66D0"/>
    <w:rsid w:val="603A4E15"/>
    <w:rsid w:val="6146003C"/>
    <w:rsid w:val="61824FF8"/>
    <w:rsid w:val="6185598F"/>
    <w:rsid w:val="61F7043E"/>
    <w:rsid w:val="61FC6CBC"/>
    <w:rsid w:val="62564055"/>
    <w:rsid w:val="625B7B17"/>
    <w:rsid w:val="630D3250"/>
    <w:rsid w:val="631431AA"/>
    <w:rsid w:val="639377F7"/>
    <w:rsid w:val="640D3F29"/>
    <w:rsid w:val="6429196F"/>
    <w:rsid w:val="64527AD6"/>
    <w:rsid w:val="666D067A"/>
    <w:rsid w:val="66860EDB"/>
    <w:rsid w:val="668C6449"/>
    <w:rsid w:val="685915DA"/>
    <w:rsid w:val="6891009F"/>
    <w:rsid w:val="69091EE2"/>
    <w:rsid w:val="690F23E8"/>
    <w:rsid w:val="69797537"/>
    <w:rsid w:val="69AC6CF3"/>
    <w:rsid w:val="69F73A58"/>
    <w:rsid w:val="6AA77611"/>
    <w:rsid w:val="6CA67BE1"/>
    <w:rsid w:val="6D180706"/>
    <w:rsid w:val="6D1D3653"/>
    <w:rsid w:val="6D2641FB"/>
    <w:rsid w:val="6D5E0E2F"/>
    <w:rsid w:val="6E411E20"/>
    <w:rsid w:val="6EDB5163"/>
    <w:rsid w:val="701255B0"/>
    <w:rsid w:val="701F2295"/>
    <w:rsid w:val="70297B68"/>
    <w:rsid w:val="704F6668"/>
    <w:rsid w:val="70B13EA8"/>
    <w:rsid w:val="71EF5E59"/>
    <w:rsid w:val="720F6228"/>
    <w:rsid w:val="728F3715"/>
    <w:rsid w:val="72A66F56"/>
    <w:rsid w:val="72AB33C7"/>
    <w:rsid w:val="72FF168C"/>
    <w:rsid w:val="731A4FA3"/>
    <w:rsid w:val="73B61051"/>
    <w:rsid w:val="742F670E"/>
    <w:rsid w:val="74415A7B"/>
    <w:rsid w:val="752F79B6"/>
    <w:rsid w:val="75EE2209"/>
    <w:rsid w:val="76514420"/>
    <w:rsid w:val="76E412E0"/>
    <w:rsid w:val="773C5CAD"/>
    <w:rsid w:val="776C1A27"/>
    <w:rsid w:val="778E12F5"/>
    <w:rsid w:val="787C1A47"/>
    <w:rsid w:val="789D6715"/>
    <w:rsid w:val="79AC5C3D"/>
    <w:rsid w:val="79E461EC"/>
    <w:rsid w:val="7A1F79BC"/>
    <w:rsid w:val="7A22650B"/>
    <w:rsid w:val="7A8314B8"/>
    <w:rsid w:val="7ABB5FB6"/>
    <w:rsid w:val="7AED4BD8"/>
    <w:rsid w:val="7B48002F"/>
    <w:rsid w:val="7B811D9A"/>
    <w:rsid w:val="7BA6300F"/>
    <w:rsid w:val="7BF07549"/>
    <w:rsid w:val="7C1F70C9"/>
    <w:rsid w:val="7C7D104F"/>
    <w:rsid w:val="7CA95FA6"/>
    <w:rsid w:val="7CD66294"/>
    <w:rsid w:val="7DCA5B84"/>
    <w:rsid w:val="7EC34622"/>
    <w:rsid w:val="7EE30820"/>
    <w:rsid w:val="7F7A36F6"/>
    <w:rsid w:val="7F7D088B"/>
    <w:rsid w:val="7FDA0E0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54"/>
      <w:ind w:left="137"/>
    </w:pPr>
    <w:rPr>
      <w:rFonts w:ascii="宋体" w:hAnsi="宋体" w:eastAsia="宋体"/>
      <w:sz w:val="28"/>
      <w:szCs w:val="28"/>
    </w:rPr>
  </w:style>
  <w:style w:type="paragraph" w:styleId="5">
    <w:name w:val="Plain Text"/>
    <w:basedOn w:val="1"/>
    <w:qFormat/>
    <w:uiPriority w:val="0"/>
    <w:rPr>
      <w:rFonts w:ascii="宋体" w:hAnsi="Courier New" w:cs="Courier New"/>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正文-公1"/>
    <w:basedOn w:val="13"/>
    <w:next w:val="1"/>
    <w:qFormat/>
    <w:uiPriority w:val="0"/>
    <w:pPr>
      <w:ind w:firstLine="200" w:firstLineChars="200"/>
    </w:pPr>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4">
    <w:name w:val="Body Text Indent1"/>
    <w:qFormat/>
    <w:uiPriority w:val="99"/>
    <w:pPr>
      <w:widowControl w:val="0"/>
      <w:ind w:firstLine="570"/>
      <w:jc w:val="both"/>
    </w:pPr>
    <w:rPr>
      <w:rFonts w:ascii="宋体" w:hAnsi="Calibri" w:eastAsia="宋体" w:cs="Times New Roman"/>
      <w:kern w:val="2"/>
      <w:sz w:val="21"/>
      <w:szCs w:val="22"/>
      <w:lang w:val="en-US" w:eastAsia="zh-CN" w:bidi="ar-SA"/>
    </w:rPr>
  </w:style>
  <w:style w:type="paragraph" w:customStyle="1" w:styleId="15">
    <w:name w:val="表名"/>
    <w:basedOn w:val="1"/>
    <w:qFormat/>
    <w:uiPriority w:val="0"/>
    <w:pPr>
      <w:spacing w:before="60" w:after="60"/>
      <w:jc w:val="center"/>
    </w:pPr>
    <w:rPr>
      <w:rFonts w:eastAsia="仿宋_GB2312"/>
      <w:b/>
      <w:sz w:val="24"/>
      <w:szCs w:val="24"/>
    </w:rPr>
  </w:style>
  <w:style w:type="character" w:customStyle="1" w:styleId="16">
    <w:name w:val="页眉 Char"/>
    <w:basedOn w:val="11"/>
    <w:link w:val="7"/>
    <w:qFormat/>
    <w:uiPriority w:val="0"/>
    <w:rPr>
      <w:rFonts w:asciiTheme="minorHAnsi" w:hAnsiTheme="minorHAnsi" w:eastAsiaTheme="minorEastAsia" w:cstheme="minorBidi"/>
      <w:kern w:val="2"/>
      <w:sz w:val="18"/>
      <w:szCs w:val="18"/>
    </w:rPr>
  </w:style>
  <w:style w:type="character" w:customStyle="1" w:styleId="17">
    <w:name w:val="页脚 Char"/>
    <w:basedOn w:val="11"/>
    <w:link w:val="6"/>
    <w:qFormat/>
    <w:uiPriority w:val="0"/>
    <w:rPr>
      <w:rFonts w:asciiTheme="minorHAnsi" w:hAnsiTheme="minorHAnsi" w:eastAsiaTheme="minorEastAsia" w:cstheme="minorBidi"/>
      <w:kern w:val="2"/>
      <w:sz w:val="18"/>
      <w:szCs w:val="18"/>
    </w:rPr>
  </w:style>
  <w:style w:type="table" w:customStyle="1" w:styleId="18">
    <w:name w:val="Table Normal"/>
    <w:semiHidden/>
    <w:unhideWhenUsed/>
    <w:qFormat/>
    <w:uiPriority w:val="0"/>
    <w:tblPr>
      <w:tblCellMar>
        <w:top w:w="0" w:type="dxa"/>
        <w:left w:w="0" w:type="dxa"/>
        <w:bottom w:w="0" w:type="dxa"/>
        <w:right w:w="0" w:type="dxa"/>
      </w:tblCellMar>
    </w:tblPr>
  </w:style>
  <w:style w:type="character" w:customStyle="1" w:styleId="19">
    <w:name w:val="font21"/>
    <w:basedOn w:val="11"/>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2.xml><?xml version="1.0" encoding="utf-8"?>
<contractReview xmlns="http://schemas.wps.cn/vas-ai-hub/contract-review">
  <reviewItems>
    <reviewItem>
      <errorID>01907139-a0f4-447d-ba5d-05438db58649</errorID>
      <errorWord>截止</errorWord>
      <group>L1_Word</group>
      <groupName>字词问题</groupName>
      <ability>L2_Typo</ability>
      <abilityName>字词错误</abilityName>
      <candidateList>
        <item>截至</item>
      </candidateList>
      <explain>存在发音相同字词的误用。</explain>
      <paraID>7C2A2FAE</paraID>
      <start>24</start>
      <end>26</end>
      <status>modified</status>
      <modifiedWord>截至</modifiedWord>
      <trackRevisions>false</trackRevisions>
    </reviewItem>
    <reviewItem>
      <errorID>f4f45c70-df00-4c64-884a-69e674f19956</errorID>
      <errorWord>(</errorWord>
      <group>L1_Format</group>
      <groupName>格式问题</groupName>
      <ability>L2_HalfPunc_CN</ability>
      <abilityName>全半角问题</abilityName>
      <candidateList>
        <item>（</item>
      </candidateList>
      <explain>文本全半角错误。</explain>
      <paraID>31865B88</paraID>
      <start>29</start>
      <end>30</end>
      <status>modified</status>
      <modifiedWord>（</modifiedWord>
      <trackRevisions>false</trackRevisions>
    </reviewItem>
    <reviewItem>
      <errorID>6389aea7-a3c0-4348-93f5-d75b43dd3d98</errorID>
      <errorWord>)</errorWord>
      <group>L1_Format</group>
      <groupName>格式问题</groupName>
      <ability>L2_HalfPunc_CN</ability>
      <abilityName>全半角问题</abilityName>
      <candidateList>
        <item>）</item>
      </candidateList>
      <explain>文本全半角错误。</explain>
      <paraID>31865B88</paraID>
      <start>47</start>
      <end>48</end>
      <status>modified</status>
      <modifiedWord>）</modifiedWord>
      <trackRevisions>false</trackRevisions>
    </reviewItem>
    <reviewItem>
      <errorID>0f9f3f32-ad01-4b4d-acd6-9f6a3c499924</errorID>
      <errorWord>南京市秦准区</errorWord>
      <group>L1_Political</group>
      <groupName>政治性问题</groupName>
      <ability>L2_Unpolitical</ability>
      <abilityName>政治敏感错误</abilityName>
      <candidateList>
        <item>南京市秦淮区</item>
      </candidateList>
      <explain>重要表述错误</explain>
      <paraID>31865B88</paraID>
      <start>51</start>
      <end>57</end>
      <status>modified</status>
      <modifiedWord>南京市秦淮区</modifiedWord>
      <trackRevisions>false</trackRevisions>
    </reviewItem>
    <reviewItem>
      <errorID>5f5b31cb-e959-465f-bf5c-99ca794e4068</errorID>
      <errorWord>2026年01月01日</errorWord>
      <group>L1_Knowledge</group>
      <groupName>知识性问题</groupName>
      <ability>L2_Time</ability>
      <abilityName>日期时间</abilityName>
      <candidateList>
        <item>2026年1月1日</item>
      </candidateList>
      <explain>根据日常书写习惯，月份和日期一般会省略前导零。</explain>
      <paraID>31865B88</paraID>
      <start>94</start>
      <end>103</end>
      <status>modified</status>
      <modifiedWord>2026年1月1日</modifiedWord>
      <trackRevisions>false</trackRevisions>
    </reviewItem>
    <reviewItem>
      <errorID>8c426e1e-7a0a-4410-bbe7-bff494ccf590</errorID>
      <errorWord>(</errorWord>
      <group>L1_Format</group>
      <groupName>格式问题</groupName>
      <ability>L2_HalfPunc_CN</ability>
      <abilityName>全半角问题</abilityName>
      <candidateList>
        <item>（</item>
      </candidateList>
      <explain>文本全半角错误。</explain>
      <paraID>31865B88</paraID>
      <start>127</start>
      <end>128</end>
      <status>modified</status>
      <modifiedWord>（</modifiedWord>
      <trackRevisions>false</trackRevisions>
    </reviewItem>
    <reviewItem>
      <errorID>75e397d7-e0fa-41bd-822b-12804c8cd987</errorID>
      <errorWord>)</errorWord>
      <group>L1_Format</group>
      <groupName>格式问题</groupName>
      <ability>L2_HalfPunc_CN</ability>
      <abilityName>全半角问题</abilityName>
      <candidateList>
        <item>）</item>
      </candidateList>
      <explain>文本全半角错误。</explain>
      <paraID>31865B88</paraID>
      <start>142</start>
      <end>143</end>
      <status>modified</status>
      <modifiedWord>）</modifiedWord>
      <trackRevisions>false</trackRevisions>
    </reviewItem>
    <reviewItem>
      <errorID>03c29f2c-89ac-4b91-9591-daa54c457925</errorID>
      <errorWord>:</errorWord>
      <group>L1_Format</group>
      <groupName>格式问题</groupName>
      <ability>L2_HalfPunc_CN</ability>
      <abilityName>全半角问题</abilityName>
      <candidateList>
        <item>：</item>
      </candidateList>
      <explain>文本全半角错误。</explain>
      <paraID>731103E5</paraID>
      <start>2</start>
      <end>3</end>
      <status>modified</status>
      <modifiedWord>：</modifiedWord>
      <trackRevisions>false</trackRevisions>
    </reviewItem>
    <reviewItem>
      <errorID>b916d0e1-9d6a-45f7-bc83-fdbc7f6ede4e</errorID>
      <errorWord>,</errorWord>
      <group>L1_Format</group>
      <groupName>格式问题</groupName>
      <ability>L2_HalfPunc_CN</ability>
      <abilityName>全半角问题</abilityName>
      <candidateList>
        <item>，</item>
      </candidateList>
      <explain>文本全半角错误。</explain>
      <paraID>5B591E1B</paraID>
      <start>219</start>
      <end>220</end>
      <status>modified</status>
      <modifiedWord>，</modifiedWord>
      <trackRevisions>false</trackRevisions>
    </reviewItem>
    <reviewItem>
      <errorID>b06b1ece-d265-4eb7-a4bc-f7b64311588d</errorID>
      <errorWord>主要是</errorWord>
      <group>L1_Word</group>
      <groupName>字词问题</groupName>
      <ability>L2_Typo</ability>
      <abilityName>字词错误</abilityName>
      <candidateList>
        <item>主要</item>
      </candidateList>
      <explain>〈形〉属性词。有关事物中最重要的；起决定作用的：～原因｜～目的｜～人物。</explain>
      <paraID>5B591E1B</paraID>
      <start>220</start>
      <end>222</end>
      <status>modified</status>
      <modifiedWord>主要</modifiedWord>
      <trackRevisions>false</trackRevisions>
    </reviewItem>
    <reviewItem>
      <errorID>e1c797d9-b433-47a6-8975-2b5c5fb4ef47</errorID>
      <errorWord>万元，主要是用于</errorWord>
      <group>L1_Word</group>
      <groupName>字词问题</groupName>
      <ability>L2_Typo</ability>
      <abilityName>字词错误</abilityName>
      <candidateList>
        <item>万元，主要用于</item>
      </candidateList>
      <explain/>
      <paraID>5B591E1B</paraID>
      <start>297</start>
      <end>304</end>
      <status>modified</status>
      <modifiedWord>万元，主要用于</modifiedWord>
      <trackRevisions>false</trackRevisions>
    </reviewItem>
    <reviewItem>
      <errorID>316d8a87-36d1-4a1a-a1f7-bcf271fc465e</errorID>
      <errorWord>:</errorWord>
      <group>L1_Format</group>
      <groupName>格式问题</groupName>
      <ability>L2_HalfPunc_CN</ability>
      <abilityName>全半角问题</abilityName>
      <candidateList>
        <item>：</item>
      </candidateList>
      <explain>文本全半角错误。</explain>
      <paraID>231AB9C7</paraID>
      <start>2</start>
      <end>3</end>
      <status>modified</status>
      <modifiedWord>：</modifiedWord>
      <trackRevisions>false</trackRevisions>
    </reviewItem>
    <reviewItem>
      <errorID>23e1b4fb-5e09-487c-b861-9143fac9e288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6B5CC8CC</paraID>
      <start>2</start>
      <end>6</end>
      <status>ignored</status>
      <modifiedWord/>
      <trackRevisions>false</trackRevisions>
    </reviewItem>
    <reviewItem>
      <errorID>29ad4efa-2155-41d4-87f4-b9d1dee2e232</errorID>
      <errorWord>更好服务</errorWord>
      <group>L1_Word</group>
      <groupName>字词问题</groupName>
      <ability>L2_Typo</ability>
      <abilityName>字词错误</abilityName>
      <candidateList>
        <item>更好地服务</item>
      </candidateList>
      <explain/>
      <paraID> F26C332</paraID>
      <start>126</start>
      <end>131</end>
      <status>modified</status>
      <modifiedWord>更好地服务</modifiedWord>
      <trackRevisions>false</trackRevisions>
    </reviewItem>
    <reviewItem>
      <errorID>e9b94724-21a0-4d9a-9aba-76c487bef402</errorID>
      <errorWord>.</errorWord>
      <group>L1_Format</group>
      <groupName>格式问题</groupName>
      <ability>L2_HalfPunc_CN</ability>
      <abilityName>全半角问题</abilityName>
      <candidateList>
        <item>。</item>
      </candidateList>
      <explain>文本全半角错误。</explain>
      <paraID>5808576C</paraID>
      <start>193</start>
      <end>194</end>
      <status>modified</status>
      <modifiedWord>。</modifiedWord>
      <trackRevisions>false</trackRevisions>
    </reviewItem>
    <reviewItem>
      <errorID>39d14d7f-63ae-4a38-a007-060a51b56506</errorID>
      <errorWord>“零突破”</errorWord>
      <group>L1_Word</group>
      <groupName>字词问题</groupName>
      <ability>L2_Typo</ability>
      <abilityName>字词错误</abilityName>
      <candidateList>
        <item>“零的突破”</item>
      </candidateList>
      <explain/>
      <paraID>461A9BD8</paraID>
      <start>195</start>
      <end>201</end>
      <status>modified</status>
      <modifiedWord>“零的突破”</modifiedWord>
      <trackRevisions>false</trackRevisions>
    </reviewItem>
    <reviewItem>
      <errorID>b99ba72a-bffc-4396-8e3d-19edfcdbc2cf</errorID>
      <errorWord>主要是</errorWord>
      <group>L1_Word</group>
      <groupName>字词问题</groupName>
      <ability>L2_Typo</ability>
      <abilityName>字词错误</abilityName>
      <candidateList>
        <item>主要</item>
      </candidateList>
      <explain>〈形〉属性词。有关事物中最重要的；起决定作用的：～原因｜～目的｜～人物。</explain>
      <paraID>15B68151</paraID>
      <start>76</start>
      <end>78</end>
      <status>modified</status>
      <modifiedWord>主要</modifiedWord>
      <trackRevisions>false</trackRevisions>
    </reviewItem>
    <reviewItem>
      <errorID>7d542cd8-a0b2-41bf-8242-e77416dffe76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5C7B82EA</paraID>
      <start>76</start>
      <end>78</end>
      <status>modified</status>
      <modifiedWord>”“</modifiedWord>
      <trackRevisions>false</trackRevisions>
    </reviewItem>
    <reviewItem>
      <errorID>30d3f928-4c27-48e2-8c33-091977a55bab</errorID>
      <errorWord>处</errorWord>
      <group>L1_Word</group>
      <groupName>字词问题</groupName>
      <ability>L2_Typo</ability>
      <abilityName>字词错误</abilityName>
      <candidateList>
        <item>处于</item>
      </candidateList>
      <explain>〈动〉在某种地位或状态：～优势｜伤员～昏迷状态。</explain>
      <paraID>3D04157E</paraID>
      <start>6</start>
      <end>8</end>
      <status>modified</status>
      <modifiedWord>处于</modifiedWord>
      <trackRevisions>false</trackRevisions>
    </reviewItem>
    <reviewItem>
      <errorID>63d81c1d-c4a7-4bb4-8eb0-b184c1f78e36</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712284AE</paraID>
      <start>116</start>
      <end>121</end>
      <status>modified</status>
      <modifiedWord>1%—2%</modifiedWord>
      <trackRevisions>false</trackRevisions>
    </reviewItem>
    <reviewItem>
      <errorID>07fde42b-00e6-4908-b2bf-eaa23c2b8136</errorID>
      <errorWord>范</errorWord>
      <group>L1_Word</group>
      <groupName>字词问题</groupName>
      <ability>L2_Typo</ability>
      <abilityName>字词错误</abilityName>
      <candidateList>
        <item>范性</item>
      </candidateList>
      <explain/>
      <paraID>770F1D47</paraID>
      <start>138</start>
      <end>140</end>
      <status>modified</status>
      <modifiedWord>范性</modifiedWord>
      <trackRevisions>false</trackRevisions>
    </reviewItem>
    <reviewItem>
      <errorID>68004315-9876-40d7-b560-0e111249add6</errorID>
      <errorWord>项</errorWord>
      <group>L1_Word</group>
      <groupName>字词问题</groupName>
      <ability>L2_Typo</ability>
      <abilityName>字词错误</abilityName>
      <candidateList>
        <item>项目</item>
      </candidateList>
      <explain>〈名〉事物分成的门类：服务～｜体育～｜建设～。</explain>
      <paraID>5A260307</paraID>
      <start>119</start>
      <end>121</end>
      <status>modified</status>
      <modifiedWord>项目</modifiedWord>
      <trackRevisions>false</trackRevisions>
    </reviewItem>
    <reviewItem>
      <errorID>b4e0c6b2-402f-4a88-8519-0ba741e10cab</errorID>
      <errorWord>考察考察</errorWord>
      <group>L1_Word</group>
      <groupName>字词问题</groupName>
      <ability>L2_Typo</ability>
      <abilityName>字词错误</abilityName>
      <candidateList>
        <item>考察</item>
      </candidateList>
      <explain>〈动〉❶实地观察调查：他们到各地～水利工程。❷细致深刻地观察：进行科学研究，必须勤于～和思索，才能有成就。</explain>
      <paraID>41D8E996</paraID>
      <start>14</start>
      <end>16</end>
      <status>modified</status>
      <modifiedWord>考察</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5b0022-1112-449e-98ca-7268cfe7cc87}">
  <ds:schemaRefs/>
</ds:datastoreItem>
</file>

<file path=docProps/app.xml><?xml version="1.0" encoding="utf-8"?>
<Properties xmlns="http://schemas.openxmlformats.org/officeDocument/2006/extended-properties" xmlns:vt="http://schemas.openxmlformats.org/officeDocument/2006/docPropsVTypes">
  <Template>Normal</Template>
  <Pages>30</Pages>
  <Words>2866</Words>
  <Characters>3665</Characters>
  <Lines>36</Lines>
  <Paragraphs>10</Paragraphs>
  <TotalTime>80</TotalTime>
  <ScaleCrop>false</ScaleCrop>
  <LinksUpToDate>false</LinksUpToDate>
  <CharactersWithSpaces>3709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2020-07-16T02:29:00Z</dcterms:created>
  <dc:creator>HP</dc:creator>
  <cp:lastModifiedBy>孙小船</cp:lastModifiedBy>
  <cp:lastPrinted>2026-06-24T02:05:00Z</cp:lastPrinted>
  <dcterms:modified xsi:type="dcterms:W3CDTF">2026-09-29T08:55:30Z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18AF9486A01A4DD88D0C626745F15569_13</vt:lpwstr>
  </property>
  <property fmtid="{D5CDD505-2E9C-101B-9397-08002B2CF9AE}" pid="4" name="KSOTemplateDocerSaveRecord">
    <vt:lpwstr>eyJoZGlkIjoiZTEzNGI3MmI1MGFkNWZlOTkxZDY3MjU5YWVmNmEyYmIiLCJ1c2VySWQiOiIzODkwOTM3MzIifQ==</vt:lpwstr>
  </property>
</Properties>
</file>